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53F27" w14:textId="1E4AFC64" w:rsidR="00C35B37" w:rsidRDefault="00C35B37" w:rsidP="00C35B37">
      <w:pPr>
        <w:pStyle w:val="a3"/>
        <w:jc w:val="center"/>
        <w:rPr>
          <w:b/>
          <w:sz w:val="28"/>
          <w:szCs w:val="28"/>
        </w:rPr>
      </w:pPr>
      <w:r>
        <w:rPr>
          <w:b/>
          <w:sz w:val="28"/>
          <w:szCs w:val="28"/>
        </w:rPr>
        <w:t>Test № 2</w:t>
      </w:r>
    </w:p>
    <w:p w14:paraId="3AA760E6" w14:textId="77777777" w:rsidR="00353E56" w:rsidRDefault="00353E56" w:rsidP="00C35B37">
      <w:pPr>
        <w:pStyle w:val="a3"/>
        <w:jc w:val="center"/>
        <w:rPr>
          <w:b/>
          <w:sz w:val="28"/>
          <w:szCs w:val="28"/>
        </w:rPr>
      </w:pPr>
    </w:p>
    <w:p w14:paraId="3D3B83A0" w14:textId="3BA6E269" w:rsidR="009D0EAE" w:rsidRPr="00C35B37" w:rsidRDefault="00C35B37" w:rsidP="00C35B37">
      <w:pPr>
        <w:jc w:val="right"/>
        <w:rPr>
          <w:rFonts w:ascii="Times New Roman" w:hAnsi="Times New Roman" w:cs="Times New Roman"/>
          <w:b/>
          <w:bCs/>
          <w:sz w:val="28"/>
          <w:szCs w:val="28"/>
          <w:lang w:val="ro-RO"/>
        </w:rPr>
      </w:pPr>
      <w:r w:rsidRPr="00C35B37">
        <w:rPr>
          <w:rFonts w:ascii="Times New Roman" w:hAnsi="Times New Roman" w:cs="Times New Roman"/>
          <w:b/>
          <w:bCs/>
          <w:sz w:val="28"/>
          <w:szCs w:val="28"/>
          <w:lang w:val="ro-RO"/>
        </w:rPr>
        <w:t>Postovan Tinia, 301 RI</w:t>
      </w:r>
    </w:p>
    <w:p w14:paraId="03166150" w14:textId="0C9FFE2D" w:rsidR="00C35B37" w:rsidRPr="00C35B37" w:rsidRDefault="00C35B37" w:rsidP="00C35B37">
      <w:pPr>
        <w:jc w:val="both"/>
        <w:rPr>
          <w:rStyle w:val="markedcontent"/>
          <w:rFonts w:ascii="Times New Roman" w:hAnsi="Times New Roman" w:cs="Times New Roman"/>
          <w:b/>
          <w:sz w:val="28"/>
          <w:szCs w:val="28"/>
          <w:lang w:val="ro-RO"/>
        </w:rPr>
      </w:pPr>
    </w:p>
    <w:p w14:paraId="0B8B5F50" w14:textId="6D271DA4" w:rsidR="00C35B37" w:rsidRDefault="00C35B37" w:rsidP="00353E56">
      <w:pPr>
        <w:pStyle w:val="a3"/>
        <w:spacing w:line="20" w:lineRule="atLeast"/>
        <w:ind w:left="142" w:firstLine="709"/>
        <w:jc w:val="both"/>
        <w:rPr>
          <w:rStyle w:val="markedcontent"/>
          <w:sz w:val="28"/>
          <w:szCs w:val="28"/>
          <w:lang w:val="ro-RO"/>
        </w:rPr>
      </w:pPr>
      <w:r w:rsidRPr="00C35B37">
        <w:rPr>
          <w:rStyle w:val="markedcontent"/>
          <w:b/>
          <w:sz w:val="28"/>
          <w:szCs w:val="28"/>
          <w:lang w:val="ro-RO"/>
        </w:rPr>
        <w:t xml:space="preserve">Subiectul 1. - </w:t>
      </w:r>
      <w:r w:rsidRPr="00C35B37">
        <w:rPr>
          <w:rStyle w:val="markedcontent"/>
          <w:sz w:val="28"/>
          <w:szCs w:val="28"/>
          <w:lang w:val="ro-RO"/>
        </w:rPr>
        <w:t>Strategii globale de asigurare a securităţii internaţionale.</w:t>
      </w:r>
    </w:p>
    <w:p w14:paraId="10A90E8C" w14:textId="409FDA84" w:rsidR="00C35B37" w:rsidRDefault="00C35B37" w:rsidP="00353E56">
      <w:pPr>
        <w:pStyle w:val="a3"/>
        <w:spacing w:line="20" w:lineRule="atLeast"/>
        <w:ind w:left="142" w:firstLine="709"/>
        <w:jc w:val="both"/>
        <w:rPr>
          <w:rStyle w:val="markedcontent"/>
          <w:sz w:val="28"/>
          <w:szCs w:val="28"/>
          <w:lang w:val="ro-RO"/>
        </w:rPr>
      </w:pPr>
    </w:p>
    <w:p w14:paraId="21B66B07" w14:textId="77777777" w:rsidR="00C35B37" w:rsidRPr="00C35B37" w:rsidRDefault="00C35B37" w:rsidP="00353E56">
      <w:pPr>
        <w:pStyle w:val="a3"/>
        <w:ind w:left="142" w:firstLine="709"/>
        <w:jc w:val="both"/>
        <w:rPr>
          <w:rStyle w:val="markedcontent"/>
          <w:sz w:val="28"/>
          <w:szCs w:val="28"/>
          <w:lang w:val="ro-RO"/>
        </w:rPr>
      </w:pPr>
      <w:r w:rsidRPr="00C35B37">
        <w:rPr>
          <w:rStyle w:val="markedcontent"/>
          <w:sz w:val="28"/>
          <w:szCs w:val="28"/>
          <w:lang w:val="ro-RO"/>
        </w:rPr>
        <w:t>În contextul importanţei deosebite a riscurilor emergente la adresa securității s-au întreprins următoarele strategii globale de asigurare a securității internaționale:</w:t>
      </w:r>
    </w:p>
    <w:p w14:paraId="6E349E91" w14:textId="77777777" w:rsidR="00C35B37" w:rsidRPr="00C35B37" w:rsidRDefault="00C35B37" w:rsidP="00353E56">
      <w:pPr>
        <w:pStyle w:val="a3"/>
        <w:ind w:left="142" w:firstLine="709"/>
        <w:jc w:val="both"/>
        <w:rPr>
          <w:rStyle w:val="markedcontent"/>
          <w:sz w:val="28"/>
          <w:szCs w:val="28"/>
          <w:lang w:val="ro-RO"/>
        </w:rPr>
      </w:pPr>
      <w:r w:rsidRPr="00C35B37">
        <w:rPr>
          <w:rStyle w:val="markedcontent"/>
          <w:sz w:val="28"/>
          <w:szCs w:val="28"/>
          <w:lang w:val="ro-RO"/>
        </w:rPr>
        <w:t>1. coexistenţa paşnică ca un principiu universal al relaţiilor internaţionale;</w:t>
      </w:r>
    </w:p>
    <w:p w14:paraId="73B41543" w14:textId="77777777" w:rsidR="00C35B37" w:rsidRPr="00C35B37" w:rsidRDefault="00C35B37" w:rsidP="00353E56">
      <w:pPr>
        <w:pStyle w:val="a3"/>
        <w:ind w:left="142" w:firstLine="709"/>
        <w:jc w:val="both"/>
        <w:rPr>
          <w:rStyle w:val="markedcontent"/>
          <w:sz w:val="28"/>
          <w:szCs w:val="28"/>
          <w:lang w:val="ro-RO"/>
        </w:rPr>
      </w:pPr>
      <w:r w:rsidRPr="00C35B37">
        <w:rPr>
          <w:rStyle w:val="markedcontent"/>
          <w:sz w:val="28"/>
          <w:szCs w:val="28"/>
          <w:lang w:val="ro-RO"/>
        </w:rPr>
        <w:t>2. asigurarea securităţii pentru toate statele;</w:t>
      </w:r>
    </w:p>
    <w:p w14:paraId="5EA09D74" w14:textId="77777777" w:rsidR="00C35B37" w:rsidRPr="00C35B37" w:rsidRDefault="00C35B37" w:rsidP="00353E56">
      <w:pPr>
        <w:pStyle w:val="a3"/>
        <w:ind w:left="142" w:firstLine="709"/>
        <w:jc w:val="both"/>
        <w:rPr>
          <w:rStyle w:val="markedcontent"/>
          <w:sz w:val="28"/>
          <w:szCs w:val="28"/>
          <w:lang w:val="ro-RO"/>
        </w:rPr>
      </w:pPr>
      <w:r w:rsidRPr="00C35B37">
        <w:rPr>
          <w:rStyle w:val="markedcontent"/>
          <w:sz w:val="28"/>
          <w:szCs w:val="28"/>
          <w:lang w:val="ro-RO"/>
        </w:rPr>
        <w:t>3. crearea de garanţii eficiente în domeniul militar, politic, economic şi umanitar</w:t>
      </w:r>
    </w:p>
    <w:p w14:paraId="52C55D8E" w14:textId="77777777" w:rsidR="00C35B37" w:rsidRPr="00C35B37" w:rsidRDefault="00C35B37" w:rsidP="00353E56">
      <w:pPr>
        <w:pStyle w:val="a3"/>
        <w:ind w:left="142" w:firstLine="709"/>
        <w:jc w:val="both"/>
        <w:rPr>
          <w:rStyle w:val="markedcontent"/>
          <w:sz w:val="28"/>
          <w:szCs w:val="28"/>
          <w:lang w:val="ro-RO"/>
        </w:rPr>
      </w:pPr>
      <w:r w:rsidRPr="00C35B37">
        <w:rPr>
          <w:rStyle w:val="markedcontent"/>
          <w:sz w:val="28"/>
          <w:szCs w:val="28"/>
          <w:lang w:val="ro-RO"/>
        </w:rPr>
        <w:t>4. prevenirea cursei înarmărilor în spaţiul cosmic, încetarea tuturor testelor de arme nucleare şi finalizarea lichidării acesteia;</w:t>
      </w:r>
    </w:p>
    <w:p w14:paraId="78A2F86F" w14:textId="77777777" w:rsidR="00C35B37" w:rsidRPr="00C35B37" w:rsidRDefault="00C35B37" w:rsidP="00353E56">
      <w:pPr>
        <w:pStyle w:val="a3"/>
        <w:ind w:left="142" w:firstLine="709"/>
        <w:jc w:val="both"/>
        <w:rPr>
          <w:rStyle w:val="markedcontent"/>
          <w:sz w:val="28"/>
          <w:szCs w:val="28"/>
          <w:lang w:val="ro-RO"/>
        </w:rPr>
      </w:pPr>
      <w:r w:rsidRPr="00C35B37">
        <w:rPr>
          <w:rStyle w:val="markedcontent"/>
          <w:sz w:val="28"/>
          <w:szCs w:val="28"/>
          <w:lang w:val="ro-RO"/>
        </w:rPr>
        <w:t>5. prevenirea cursei înarmărilor în spaţiul cosmic, încetarea tuturor testelor de arme nucleare şi finalizarea lichidării acesteia;</w:t>
      </w:r>
    </w:p>
    <w:p w14:paraId="1F21B117" w14:textId="77777777" w:rsidR="00C35B37" w:rsidRPr="00C35B37" w:rsidRDefault="00C35B37" w:rsidP="00353E56">
      <w:pPr>
        <w:pStyle w:val="a3"/>
        <w:ind w:left="142" w:firstLine="709"/>
        <w:jc w:val="both"/>
        <w:rPr>
          <w:rStyle w:val="markedcontent"/>
          <w:sz w:val="28"/>
          <w:szCs w:val="28"/>
          <w:lang w:val="ro-RO"/>
        </w:rPr>
      </w:pPr>
      <w:r w:rsidRPr="00C35B37">
        <w:rPr>
          <w:rStyle w:val="markedcontent"/>
          <w:sz w:val="28"/>
          <w:szCs w:val="28"/>
          <w:lang w:val="ro-RO"/>
        </w:rPr>
        <w:t>6. soluţionarea politică a crizelor internaţionale şi a conflictelor regionale;</w:t>
      </w:r>
    </w:p>
    <w:p w14:paraId="6A936F15" w14:textId="77777777" w:rsidR="00C35B37" w:rsidRPr="00C35B37" w:rsidRDefault="00C35B37" w:rsidP="00353E56">
      <w:pPr>
        <w:pStyle w:val="a3"/>
        <w:ind w:left="142" w:firstLine="709"/>
        <w:jc w:val="both"/>
        <w:rPr>
          <w:rStyle w:val="markedcontent"/>
          <w:sz w:val="28"/>
          <w:szCs w:val="28"/>
          <w:lang w:val="ro-RO"/>
        </w:rPr>
      </w:pPr>
      <w:r w:rsidRPr="00C35B37">
        <w:rPr>
          <w:rStyle w:val="markedcontent"/>
          <w:sz w:val="28"/>
          <w:szCs w:val="28"/>
          <w:lang w:val="ro-RO"/>
        </w:rPr>
        <w:t>7. consolidarea încrederii între state;</w:t>
      </w:r>
    </w:p>
    <w:p w14:paraId="35196D85" w14:textId="77777777" w:rsidR="00C35B37" w:rsidRPr="00C35B37" w:rsidRDefault="00C35B37" w:rsidP="00353E56">
      <w:pPr>
        <w:pStyle w:val="a3"/>
        <w:ind w:left="142" w:firstLine="709"/>
        <w:jc w:val="both"/>
        <w:rPr>
          <w:rStyle w:val="markedcontent"/>
          <w:sz w:val="28"/>
          <w:szCs w:val="28"/>
          <w:lang w:val="ro-RO"/>
        </w:rPr>
      </w:pPr>
      <w:r w:rsidRPr="00C35B37">
        <w:rPr>
          <w:rStyle w:val="markedcontent"/>
          <w:sz w:val="28"/>
          <w:szCs w:val="28"/>
          <w:lang w:val="ro-RO"/>
        </w:rPr>
        <w:t>8. dezvoltarea unor metode eficiente de prevenire a terorismului internaţional;</w:t>
      </w:r>
    </w:p>
    <w:p w14:paraId="4F8EC2A2" w14:textId="2B8B4895" w:rsidR="00C35B37" w:rsidRPr="00C35B37" w:rsidRDefault="00C35B37" w:rsidP="00353E56">
      <w:pPr>
        <w:pStyle w:val="a3"/>
        <w:ind w:left="142" w:firstLine="709"/>
        <w:jc w:val="both"/>
        <w:rPr>
          <w:rStyle w:val="markedcontent"/>
          <w:sz w:val="28"/>
          <w:szCs w:val="28"/>
          <w:lang w:val="ro-RO"/>
        </w:rPr>
      </w:pPr>
      <w:r w:rsidRPr="00C35B37">
        <w:rPr>
          <w:rStyle w:val="markedcontent"/>
          <w:sz w:val="28"/>
          <w:szCs w:val="28"/>
          <w:lang w:val="ro-RO"/>
        </w:rPr>
        <w:t>9. eradicarea genocidului, apartheidului, fascismului;</w:t>
      </w:r>
    </w:p>
    <w:p w14:paraId="5BF7FEC7" w14:textId="53F5FAF9" w:rsidR="00C35B37" w:rsidRPr="00C35B37" w:rsidRDefault="00C35B37" w:rsidP="00353E56">
      <w:pPr>
        <w:pStyle w:val="a3"/>
        <w:spacing w:line="20" w:lineRule="atLeast"/>
        <w:ind w:left="142" w:firstLine="709"/>
        <w:jc w:val="both"/>
        <w:rPr>
          <w:b/>
          <w:sz w:val="28"/>
          <w:szCs w:val="28"/>
          <w:lang w:val="ro-RO"/>
        </w:rPr>
      </w:pPr>
    </w:p>
    <w:p w14:paraId="59892E0D" w14:textId="196C37A0" w:rsidR="00C35B37" w:rsidRDefault="00C35B37" w:rsidP="00353E56">
      <w:pPr>
        <w:spacing w:after="0" w:line="20" w:lineRule="atLeast"/>
        <w:ind w:left="360" w:firstLine="709"/>
        <w:jc w:val="both"/>
        <w:rPr>
          <w:rStyle w:val="markedcontent"/>
          <w:rFonts w:ascii="Times New Roman" w:hAnsi="Times New Roman" w:cs="Times New Roman"/>
          <w:sz w:val="28"/>
          <w:szCs w:val="28"/>
          <w:lang w:val="ro-RO"/>
        </w:rPr>
      </w:pPr>
      <w:r w:rsidRPr="00C35B37">
        <w:rPr>
          <w:rFonts w:ascii="Times New Roman" w:hAnsi="Times New Roman" w:cs="Times New Roman"/>
          <w:b/>
          <w:sz w:val="28"/>
          <w:szCs w:val="28"/>
          <w:lang w:val="ro-RO"/>
        </w:rPr>
        <w:t xml:space="preserve">Subiectul 2. - </w:t>
      </w:r>
      <w:r w:rsidRPr="00C35B37">
        <w:rPr>
          <w:rStyle w:val="markedcontent"/>
          <w:rFonts w:ascii="Times New Roman" w:hAnsi="Times New Roman" w:cs="Times New Roman"/>
          <w:sz w:val="28"/>
          <w:szCs w:val="28"/>
          <w:lang w:val="ro-RO"/>
        </w:rPr>
        <w:t xml:space="preserve">Responsabilitățile pe conlucrare a serviciilor de informații în dezvoltarea unei colaborări eficiente privind creșterea transparenței instituționale. </w:t>
      </w:r>
    </w:p>
    <w:p w14:paraId="679EB124" w14:textId="4DFE9EE0" w:rsidR="00C35B37" w:rsidRDefault="00C35B37" w:rsidP="00353E56">
      <w:pPr>
        <w:spacing w:after="0" w:line="20" w:lineRule="atLeast"/>
        <w:ind w:left="360" w:firstLine="709"/>
        <w:jc w:val="both"/>
        <w:rPr>
          <w:rStyle w:val="markedcontent"/>
          <w:rFonts w:ascii="Times New Roman" w:hAnsi="Times New Roman" w:cs="Times New Roman"/>
          <w:sz w:val="28"/>
          <w:szCs w:val="28"/>
          <w:lang w:val="ro-RO"/>
        </w:rPr>
      </w:pPr>
    </w:p>
    <w:p w14:paraId="667C04D0" w14:textId="77777777" w:rsidR="00353E56" w:rsidRPr="00353E56" w:rsidRDefault="00353E56" w:rsidP="00353E56">
      <w:pPr>
        <w:spacing w:after="0" w:line="20" w:lineRule="atLeast"/>
        <w:ind w:left="360" w:firstLine="709"/>
        <w:jc w:val="both"/>
        <w:rPr>
          <w:rStyle w:val="markedcontent"/>
          <w:rFonts w:ascii="Times New Roman" w:hAnsi="Times New Roman" w:cs="Times New Roman"/>
          <w:sz w:val="28"/>
          <w:szCs w:val="28"/>
          <w:lang w:val="ro-RO"/>
        </w:rPr>
      </w:pPr>
      <w:r w:rsidRPr="00353E56">
        <w:rPr>
          <w:rStyle w:val="markedcontent"/>
          <w:rFonts w:ascii="Times New Roman" w:hAnsi="Times New Roman" w:cs="Times New Roman"/>
          <w:sz w:val="28"/>
          <w:szCs w:val="28"/>
          <w:lang w:val="ro-RO"/>
        </w:rPr>
        <w:t>Informația este conceptul care stă la baza acestei ere, este obiectul principal de lucru la momentul actual și în anii ce vor urma. Odată cu dezvoltarea tehnologiei, spațiile virtuale, care mai demult existau doar în imaginație, au început să prindă viață.</w:t>
      </w:r>
    </w:p>
    <w:p w14:paraId="3ED19760" w14:textId="77777777" w:rsidR="00353E56" w:rsidRPr="00353E56" w:rsidRDefault="00353E56" w:rsidP="00353E56">
      <w:pPr>
        <w:spacing w:after="0" w:line="20" w:lineRule="atLeast"/>
        <w:ind w:left="360" w:firstLine="709"/>
        <w:jc w:val="both"/>
        <w:rPr>
          <w:rStyle w:val="markedcontent"/>
          <w:rFonts w:ascii="Times New Roman" w:hAnsi="Times New Roman" w:cs="Times New Roman"/>
          <w:sz w:val="28"/>
          <w:szCs w:val="28"/>
          <w:lang w:val="ro-RO"/>
        </w:rPr>
      </w:pPr>
      <w:r w:rsidRPr="00353E56">
        <w:rPr>
          <w:rStyle w:val="markedcontent"/>
          <w:rFonts w:ascii="Times New Roman" w:hAnsi="Times New Roman" w:cs="Times New Roman"/>
          <w:sz w:val="28"/>
          <w:szCs w:val="28"/>
          <w:lang w:val="ro-RO"/>
        </w:rPr>
        <w:t xml:space="preserve">   Transparența urmăreşte în fapt asigurarea unui acces mai larg al cetăţenilor la informaţiile şi documentele aflate în posesia instituţiilor statului, participarea cetăţenilor la procesul decizional şi asigurarea legitimității, eficacităţii şi responsabilităţii administraţiei faţă de cetăţean, într-un sens mai larg se referă la accesul liber la informație de interes public și la posibilitatea de a fii implicat/consultat cu privire la adoptarea unor reglementări legislative. </w:t>
      </w:r>
    </w:p>
    <w:p w14:paraId="09A9025D" w14:textId="77777777" w:rsidR="00353E56" w:rsidRPr="00353E56" w:rsidRDefault="00353E56" w:rsidP="00353E56">
      <w:pPr>
        <w:spacing w:after="0" w:line="20" w:lineRule="atLeast"/>
        <w:ind w:left="360" w:firstLine="709"/>
        <w:jc w:val="both"/>
        <w:rPr>
          <w:rStyle w:val="markedcontent"/>
          <w:rFonts w:ascii="Times New Roman" w:hAnsi="Times New Roman" w:cs="Times New Roman"/>
          <w:sz w:val="28"/>
          <w:szCs w:val="28"/>
          <w:lang w:val="ro-RO"/>
        </w:rPr>
      </w:pPr>
      <w:r w:rsidRPr="00353E56">
        <w:rPr>
          <w:rStyle w:val="markedcontent"/>
          <w:rFonts w:ascii="Times New Roman" w:hAnsi="Times New Roman" w:cs="Times New Roman"/>
          <w:sz w:val="28"/>
          <w:szCs w:val="28"/>
          <w:lang w:val="ro-RO"/>
        </w:rPr>
        <w:t xml:space="preserve">   Informația reprezintă baza democraţiei, iar democraţia ar fi de neconceput fără accesul liber al publicului la informaţii. Lipsa transparenţei în viaţa politică şi în actul de guvernare reprezintă unul dintre obstacolele cele mai greu de depăşit de către o societate democratică, în care cetăţenii să aibă încredere în oamenii politici şi în guvernanţi. De aceea, accesul neîngrădit al cetăţenilor la informaţia de interes public şi participarea lor la luarea deciziilor sunt considerate două dintre premisele cele mai importante ale unei guvernări democratice şi responsabile.</w:t>
      </w:r>
    </w:p>
    <w:p w14:paraId="33CC5E03" w14:textId="77777777" w:rsidR="00353E56" w:rsidRPr="00353E56" w:rsidRDefault="00353E56" w:rsidP="00353E56">
      <w:pPr>
        <w:spacing w:after="0" w:line="20" w:lineRule="atLeast"/>
        <w:ind w:left="360" w:firstLine="709"/>
        <w:jc w:val="both"/>
        <w:rPr>
          <w:rStyle w:val="markedcontent"/>
          <w:rFonts w:ascii="Times New Roman" w:hAnsi="Times New Roman" w:cs="Times New Roman"/>
          <w:sz w:val="28"/>
          <w:szCs w:val="28"/>
          <w:lang w:val="ro-RO"/>
        </w:rPr>
      </w:pPr>
      <w:r w:rsidRPr="00353E56">
        <w:rPr>
          <w:rStyle w:val="markedcontent"/>
          <w:rFonts w:ascii="Times New Roman" w:hAnsi="Times New Roman" w:cs="Times New Roman"/>
          <w:sz w:val="28"/>
          <w:szCs w:val="28"/>
          <w:lang w:val="ro-RO"/>
        </w:rPr>
        <w:lastRenderedPageBreak/>
        <w:t xml:space="preserve">   Transparenţa instituțională are rolul de a preveni acţiunile care ameninţă integritatea și de a evalua performanţa administraţiei publice locală. </w:t>
      </w:r>
    </w:p>
    <w:p w14:paraId="3C21C753" w14:textId="764B6C02" w:rsidR="00C35B37" w:rsidRDefault="00353E56" w:rsidP="00353E56">
      <w:pPr>
        <w:spacing w:after="0" w:line="20" w:lineRule="atLeast"/>
        <w:ind w:left="360" w:firstLine="709"/>
        <w:jc w:val="both"/>
        <w:rPr>
          <w:rStyle w:val="markedcontent"/>
          <w:rFonts w:ascii="Times New Roman" w:hAnsi="Times New Roman" w:cs="Times New Roman"/>
          <w:sz w:val="28"/>
          <w:szCs w:val="28"/>
          <w:lang w:val="ro-RO"/>
        </w:rPr>
      </w:pPr>
      <w:r w:rsidRPr="00353E56">
        <w:rPr>
          <w:rStyle w:val="markedcontent"/>
          <w:rFonts w:ascii="Times New Roman" w:hAnsi="Times New Roman" w:cs="Times New Roman"/>
          <w:sz w:val="28"/>
          <w:szCs w:val="28"/>
          <w:lang w:val="ro-RO"/>
        </w:rPr>
        <w:t xml:space="preserve"> Datorită schimbărilor tehnologice,economice, sociale și politice la nivel conceptual și global importanţa comunicării eficiente între cetățeni şi guvernanţi devine un factor mai mult decât esențial pentru consolidarea regimurilor democratice prin acceptarea unui nou tip de guvernare și anume așa-numita  „guvernare deschisă”. Un factor cheie  în creșterea transparenței instituționale este reprezentat de diminuarea birocraţiei și anume: simplificarea circuitelor documentelor; simplificarea procedurilor de emitere a avizelor/autorizațiilor/documentelor și crearea unui oficiu/portal unic de primire a solicitărilor cetățeanului.</w:t>
      </w:r>
    </w:p>
    <w:p w14:paraId="467B7EF7" w14:textId="77777777" w:rsidR="00353E56" w:rsidRPr="00C35B37" w:rsidRDefault="00353E56" w:rsidP="00353E56">
      <w:pPr>
        <w:spacing w:after="0" w:line="20" w:lineRule="atLeast"/>
        <w:ind w:left="360" w:firstLine="709"/>
        <w:jc w:val="both"/>
        <w:rPr>
          <w:rStyle w:val="markedcontent"/>
          <w:rFonts w:ascii="Times New Roman" w:hAnsi="Times New Roman" w:cs="Times New Roman"/>
          <w:sz w:val="28"/>
          <w:szCs w:val="28"/>
          <w:lang w:val="ro-RO"/>
        </w:rPr>
      </w:pPr>
    </w:p>
    <w:p w14:paraId="0B791D2A" w14:textId="0AC2957D" w:rsidR="00C35B37" w:rsidRDefault="00C35B37" w:rsidP="00353E56">
      <w:pPr>
        <w:pStyle w:val="a3"/>
        <w:spacing w:line="20" w:lineRule="atLeast"/>
        <w:ind w:left="142" w:firstLine="709"/>
        <w:jc w:val="both"/>
        <w:rPr>
          <w:rStyle w:val="markedcontent"/>
          <w:sz w:val="28"/>
          <w:szCs w:val="28"/>
          <w:lang w:val="ro-RO"/>
        </w:rPr>
      </w:pPr>
      <w:r w:rsidRPr="00C35B37">
        <w:rPr>
          <w:b/>
          <w:sz w:val="28"/>
          <w:szCs w:val="28"/>
          <w:lang w:val="ro-RO"/>
        </w:rPr>
        <w:t>Subiectul 3.</w:t>
      </w:r>
      <w:r w:rsidRPr="00C35B37">
        <w:rPr>
          <w:rStyle w:val="markedcontent"/>
          <w:sz w:val="28"/>
          <w:szCs w:val="28"/>
          <w:lang w:val="ro-RO"/>
        </w:rPr>
        <w:t xml:space="preserve"> - </w:t>
      </w:r>
      <w:r w:rsidRPr="00C35B37">
        <w:rPr>
          <w:rStyle w:val="markedcontent"/>
          <w:sz w:val="28"/>
          <w:szCs w:val="28"/>
          <w:lang w:val="ro-RO"/>
        </w:rPr>
        <w:t>Operaţiunile antiteroriste.</w:t>
      </w:r>
    </w:p>
    <w:p w14:paraId="65ED8206" w14:textId="77777777" w:rsidR="00353E56" w:rsidRDefault="00353E56" w:rsidP="00353E56">
      <w:pPr>
        <w:pStyle w:val="a3"/>
        <w:spacing w:line="20" w:lineRule="atLeast"/>
        <w:ind w:left="142" w:firstLine="709"/>
        <w:jc w:val="both"/>
        <w:rPr>
          <w:rStyle w:val="markedcontent"/>
          <w:sz w:val="28"/>
          <w:szCs w:val="28"/>
          <w:lang w:val="ro-RO"/>
        </w:rPr>
      </w:pPr>
    </w:p>
    <w:p w14:paraId="47062C7D" w14:textId="77777777" w:rsidR="00353E56" w:rsidRPr="00353E56" w:rsidRDefault="00353E56" w:rsidP="00353E56">
      <w:pPr>
        <w:pStyle w:val="a3"/>
        <w:spacing w:line="20" w:lineRule="atLeast"/>
        <w:ind w:left="142" w:firstLine="709"/>
        <w:jc w:val="both"/>
        <w:rPr>
          <w:rStyle w:val="markedcontent"/>
          <w:sz w:val="28"/>
          <w:szCs w:val="28"/>
          <w:lang w:val="ro-RO"/>
        </w:rPr>
      </w:pPr>
      <w:r w:rsidRPr="00353E56">
        <w:rPr>
          <w:rStyle w:val="markedcontent"/>
          <w:sz w:val="28"/>
          <w:szCs w:val="28"/>
          <w:lang w:val="ro-RO"/>
        </w:rPr>
        <w:t xml:space="preserve">Contraterorismul, cunoscut și ca anti-terorism, încorporează practica, tacticile militare, tehnicile și strategia pe care agențiile guvernamentale, militare, de aplicare a legii, de afaceri și de informații le folosesc pentru a combate sau a preveni terorismul. Strategia de combatere a terorismului este planul unui guvern de a folosi instrumentele puterii naționale pentru a neutraliza teroriștii, organizațiile lor și rețelele lor, pentru a-i face incapabili să folosească violența pentru a insufla frică și pentru a constrânge guvernul sau cetățenii săi să reacționeze în conformitate cu scopurile teroriştilor. Dacă terorismul face parte dintr-o insurgență mai largă, combaterea terorismului poate folosi măsuri de contra insurgență. Forțele armate ale Statelor Unite folosesc termenul de apărare internă străină pentru programele care sprijină alte țări în încercările de a suprima insurgența, ilegalitatea sau subversia sau de a reduce condițiile în care se pot dezvolta aceste amenințări la adresa securității. Majoritatea strategiilor de combatere a terorismului implică o creștere a poliției standard și a informațiilor interne. Activitățile centrale sunt tradiționale: interceptarea comunicațiilor și urmărirea persoanelor. Cu toate acestea, noua tehnologie a extins gama de operațiuni militare și de aplicare a legii. Pentru a selecta acțiunea eficientă atunci când terorismul pare a fi mai mult un eveniment izolat, organizațiile guvernamentale adecvate trebuie să înțeleagă sursa, motivația, metodele de pregătire și tactica grupurilor teroriste. Inteligența bună se află în centrul unei astfel de pregătiri, precum și înțelegerea politică și socială a oricăror nemulțumiri care ar putea fi rezolvate. În mod ideal, se obține informații din interiorul grupului, o provocare foarte dificilă pentru HUMINT, deoarece celulele teroriste operaționale sunt adesea mici, cu toți membrii cunoscuți între ei, poate chiar înrudiți. </w:t>
      </w:r>
    </w:p>
    <w:p w14:paraId="52E5925F" w14:textId="77777777" w:rsidR="00353E56" w:rsidRPr="00353E56" w:rsidRDefault="00353E56" w:rsidP="00353E56">
      <w:pPr>
        <w:pStyle w:val="a3"/>
        <w:spacing w:line="20" w:lineRule="atLeast"/>
        <w:ind w:left="142" w:firstLine="709"/>
        <w:jc w:val="both"/>
        <w:rPr>
          <w:rStyle w:val="markedcontent"/>
          <w:sz w:val="28"/>
          <w:szCs w:val="28"/>
          <w:lang w:val="ro-RO"/>
        </w:rPr>
      </w:pPr>
      <w:r w:rsidRPr="00353E56">
        <w:rPr>
          <w:rStyle w:val="markedcontent"/>
          <w:sz w:val="28"/>
          <w:szCs w:val="28"/>
          <w:lang w:val="ro-RO"/>
        </w:rPr>
        <w:t xml:space="preserve">Forțele de combatere a terorismului s-au extins odată cu amenințarea în creștere a terorismului la sfârșitul secolului al XX-lea. Mai exact, după atacurile din 11 septembrie, guvernele occidentale au făcut din eforturile de combatere a terorismului o prioritate, inclusiv mai multă cooperare externă, tactici de schimbare care implică echipe roșii și măsuri preventive. Deși atacurile senzaționale din lumea dezvoltată primesc o mare atenție mass-media, majoritatea terorismului are </w:t>
      </w:r>
      <w:r w:rsidRPr="00353E56">
        <w:rPr>
          <w:rStyle w:val="markedcontent"/>
          <w:sz w:val="28"/>
          <w:szCs w:val="28"/>
          <w:lang w:val="ro-RO"/>
        </w:rPr>
        <w:lastRenderedPageBreak/>
        <w:t>loc în țările mai puțin dezvoltate. Răspunsurile guvernamentale la terorism generează, în unele cazuri, consecințe nedorite substanțiale.</w:t>
      </w:r>
    </w:p>
    <w:p w14:paraId="4C2D33FB" w14:textId="77777777" w:rsidR="00353E56" w:rsidRPr="00353E56" w:rsidRDefault="00353E56" w:rsidP="00353E56">
      <w:pPr>
        <w:pStyle w:val="a3"/>
        <w:spacing w:line="20" w:lineRule="atLeast"/>
        <w:ind w:left="142" w:firstLine="709"/>
        <w:jc w:val="both"/>
        <w:rPr>
          <w:rStyle w:val="markedcontent"/>
          <w:sz w:val="28"/>
          <w:szCs w:val="28"/>
          <w:lang w:val="ro-RO"/>
        </w:rPr>
      </w:pPr>
      <w:r w:rsidRPr="00353E56">
        <w:rPr>
          <w:rStyle w:val="markedcontent"/>
          <w:sz w:val="28"/>
          <w:szCs w:val="28"/>
          <w:lang w:val="ro-RO"/>
        </w:rPr>
        <w:t xml:space="preserve">   Astăzi, multe țări au unități speciale desemnate pentru a face față amenințărilor teroriste. Pe lângă diverse agenții de securitate, există unități tactice de elită, cunoscute și sub denumirea de unități de misiune specială, al căror rol este de a angaja direct teroriștii și de a preveni atacurile teroriste. Astfel de unități efectuează atât acțiuni preventive, salvarea ostaticilor, cât și răspuns la atacurile în curs. Țările de toate dimensiunile pot avea echipe de combatere a terorismului foarte bine pregătite. Tacticile, tehnicile și procedurile de vânătoare de oameni sunt în continuă dezvoltare.</w:t>
      </w:r>
    </w:p>
    <w:p w14:paraId="7D300C7B" w14:textId="77777777" w:rsidR="00353E56" w:rsidRPr="00353E56" w:rsidRDefault="00353E56" w:rsidP="00353E56">
      <w:pPr>
        <w:pStyle w:val="a3"/>
        <w:spacing w:line="20" w:lineRule="atLeast"/>
        <w:ind w:left="142" w:firstLine="709"/>
        <w:jc w:val="both"/>
        <w:rPr>
          <w:rStyle w:val="markedcontent"/>
          <w:sz w:val="28"/>
          <w:szCs w:val="28"/>
          <w:lang w:val="ro-RO"/>
        </w:rPr>
      </w:pPr>
      <w:r w:rsidRPr="00353E56">
        <w:rPr>
          <w:rStyle w:val="markedcontent"/>
          <w:sz w:val="28"/>
          <w:szCs w:val="28"/>
          <w:lang w:val="ro-RO"/>
        </w:rPr>
        <w:t>Majoritatea acestor măsuri se referă la atacuri teroriste care afectează o zonă sau amenință să facă acest lucru. Este mult mai greu să faci față asasinatului, sau chiar represaliilor asupra indivizilor, din cauza timpului scurt (dacă există) de avertizare și a exfiltrării rapide a asasinilor. Aceste unități sunt special instruite în tactică și sunt foarte bine echipate pentru CQB, cu accent pe ascuns și îndeplinirea misiunii cu pierderi minime. Unitățile includ forță de preluare (echipe de asalt), lunetişti, experți EOD, îngrijitori de câini și ofițeri de informații. Consultați organizațiile de contrainformații și de combatere a terorismului pentru comanda națională, informații și atenuarea incidentelor.</w:t>
      </w:r>
    </w:p>
    <w:p w14:paraId="253B87F0" w14:textId="375BC4E4" w:rsidR="00353E56" w:rsidRPr="00C35B37" w:rsidRDefault="00353E56" w:rsidP="00353E56">
      <w:pPr>
        <w:pStyle w:val="a3"/>
        <w:spacing w:line="20" w:lineRule="atLeast"/>
        <w:ind w:left="142" w:firstLine="709"/>
        <w:jc w:val="both"/>
        <w:rPr>
          <w:rStyle w:val="markedcontent"/>
          <w:sz w:val="28"/>
          <w:szCs w:val="28"/>
          <w:lang w:val="ro-RO"/>
        </w:rPr>
      </w:pPr>
      <w:r w:rsidRPr="00353E56">
        <w:rPr>
          <w:rStyle w:val="markedcontent"/>
          <w:sz w:val="28"/>
          <w:szCs w:val="28"/>
          <w:lang w:val="ro-RO"/>
        </w:rPr>
        <w:t>Majoritatea operațiunilor de combatere a terorismului la nivel tactic sunt conduse de agenții de aplicare a legii de stat, federale și naționale sau de agenții de informații. În unele țări, armata poate fi chemată în ultimă instanță. Evident, pentru țările a căror armată are permisiunea legală de a conduce operațiuni de poliție, aceasta nu este o problemă, iar astfel de operațiuni de combatere a terorismului sunt conduse de armata lor.</w:t>
      </w:r>
    </w:p>
    <w:p w14:paraId="2A9A488D" w14:textId="77777777" w:rsidR="00C35B37" w:rsidRPr="00C35B37" w:rsidRDefault="00C35B37" w:rsidP="00C35B37">
      <w:pPr>
        <w:pStyle w:val="a3"/>
        <w:ind w:left="142"/>
        <w:jc w:val="both"/>
        <w:rPr>
          <w:rStyle w:val="markedcontent"/>
          <w:b/>
          <w:sz w:val="28"/>
          <w:szCs w:val="28"/>
          <w:lang w:val="ro-RO"/>
        </w:rPr>
      </w:pPr>
    </w:p>
    <w:p w14:paraId="32DA903D" w14:textId="40608F3A" w:rsidR="00C35B37" w:rsidRPr="00C35B37" w:rsidRDefault="00C35B37" w:rsidP="00C35B37">
      <w:pPr>
        <w:ind w:left="360"/>
        <w:jc w:val="both"/>
        <w:rPr>
          <w:rStyle w:val="markedcontent"/>
          <w:lang w:val="ro-RO"/>
        </w:rPr>
      </w:pPr>
    </w:p>
    <w:p w14:paraId="1EAA04C4" w14:textId="7EB89AD6" w:rsidR="00C35B37" w:rsidRPr="00C35B37" w:rsidRDefault="00C35B37" w:rsidP="00C35B37">
      <w:pPr>
        <w:pStyle w:val="a3"/>
        <w:ind w:left="142"/>
        <w:jc w:val="both"/>
        <w:rPr>
          <w:b/>
          <w:sz w:val="28"/>
          <w:szCs w:val="28"/>
          <w:lang w:val="ro-RO"/>
        </w:rPr>
      </w:pPr>
    </w:p>
    <w:p w14:paraId="70E6BC18" w14:textId="7CD426DF" w:rsidR="00C35B37" w:rsidRPr="00C35B37" w:rsidRDefault="00C35B37" w:rsidP="00C35B37">
      <w:pPr>
        <w:jc w:val="center"/>
        <w:rPr>
          <w:rStyle w:val="markedcontent"/>
          <w:b/>
          <w:sz w:val="28"/>
          <w:szCs w:val="28"/>
          <w:lang w:val="ro-RO"/>
        </w:rPr>
      </w:pPr>
    </w:p>
    <w:p w14:paraId="4E434DE7" w14:textId="65D8074C" w:rsidR="00C35B37" w:rsidRPr="00353E56" w:rsidRDefault="00C35B37" w:rsidP="00C35B37">
      <w:pPr>
        <w:pStyle w:val="a3"/>
        <w:rPr>
          <w:b/>
          <w:sz w:val="28"/>
          <w:szCs w:val="28"/>
          <w:lang w:val="ro-RO"/>
        </w:rPr>
      </w:pPr>
    </w:p>
    <w:sectPr w:rsidR="00C35B37" w:rsidRPr="00353E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8435A1"/>
    <w:multiLevelType w:val="hybridMultilevel"/>
    <w:tmpl w:val="225694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FE4"/>
    <w:rsid w:val="00352FE4"/>
    <w:rsid w:val="00353E56"/>
    <w:rsid w:val="009D0EAE"/>
    <w:rsid w:val="00C35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D2F44"/>
  <w15:chartTrackingRefBased/>
  <w15:docId w15:val="{E5D91AE5-0669-4211-B4B5-BB3293BEC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5B37"/>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markedcontent">
    <w:name w:val="markedcontent"/>
    <w:basedOn w:val="a0"/>
    <w:rsid w:val="00C35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459420">
      <w:bodyDiv w:val="1"/>
      <w:marLeft w:val="0"/>
      <w:marRight w:val="0"/>
      <w:marTop w:val="0"/>
      <w:marBottom w:val="0"/>
      <w:divBdr>
        <w:top w:val="none" w:sz="0" w:space="0" w:color="auto"/>
        <w:left w:val="none" w:sz="0" w:space="0" w:color="auto"/>
        <w:bottom w:val="none" w:sz="0" w:space="0" w:color="auto"/>
        <w:right w:val="none" w:sz="0" w:space="0" w:color="auto"/>
      </w:divBdr>
    </w:div>
    <w:div w:id="1737583684">
      <w:bodyDiv w:val="1"/>
      <w:marLeft w:val="0"/>
      <w:marRight w:val="0"/>
      <w:marTop w:val="0"/>
      <w:marBottom w:val="0"/>
      <w:divBdr>
        <w:top w:val="none" w:sz="0" w:space="0" w:color="auto"/>
        <w:left w:val="none" w:sz="0" w:space="0" w:color="auto"/>
        <w:bottom w:val="none" w:sz="0" w:space="0" w:color="auto"/>
        <w:right w:val="none" w:sz="0" w:space="0" w:color="auto"/>
      </w:divBdr>
    </w:div>
    <w:div w:id="207534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1142</Words>
  <Characters>6512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Mihaele Lungu</dc:creator>
  <cp:keywords/>
  <dc:description/>
  <cp:lastModifiedBy>Mihaele Lungu</cp:lastModifiedBy>
  <cp:revision>2</cp:revision>
  <dcterms:created xsi:type="dcterms:W3CDTF">2021-12-03T14:09:00Z</dcterms:created>
  <dcterms:modified xsi:type="dcterms:W3CDTF">2021-12-03T14:18:00Z</dcterms:modified>
</cp:coreProperties>
</file>