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1983" w14:textId="77777777" w:rsidR="008377C7" w:rsidRPr="008377C7" w:rsidRDefault="008377C7" w:rsidP="008377C7">
      <w:pPr>
        <w:ind w:left="35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77C7">
        <w:rPr>
          <w:rFonts w:ascii="Times New Roman" w:hAnsi="Times New Roman" w:cs="Times New Roman"/>
          <w:sz w:val="24"/>
          <w:szCs w:val="24"/>
          <w:lang w:val="en-US"/>
        </w:rPr>
        <w:t>Test № 1</w:t>
      </w:r>
    </w:p>
    <w:p w14:paraId="08730820" w14:textId="77777777" w:rsidR="008377C7" w:rsidRDefault="008377C7" w:rsidP="008377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96AD9E" w14:textId="70BC721F" w:rsidR="008377C7" w:rsidRPr="008377C7" w:rsidRDefault="008377C7" w:rsidP="008377C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77C7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8377C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Interpretări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condițiile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provocărilor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globale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106DE2E5" w14:textId="77777777" w:rsidR="008377C7" w:rsidRDefault="008377C7" w:rsidP="008377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0B0396" w14:textId="2633E19C" w:rsidR="008B266C" w:rsidRPr="008B266C" w:rsidRDefault="008B266C" w:rsidP="008B266C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COVID-19 </w:t>
      </w:r>
      <w:proofErr w:type="spellStart"/>
      <w:r w:rsidR="00FA27B5" w:rsidRPr="00FA27B5">
        <w:rPr>
          <w:rFonts w:ascii="Times New Roman" w:hAnsi="Times New Roman" w:cs="Times New Roman"/>
          <w:sz w:val="24"/>
          <w:szCs w:val="24"/>
          <w:lang w:val="en-US"/>
        </w:rPr>
        <w:t>plasează</w:t>
      </w:r>
      <w:proofErr w:type="spellEnd"/>
      <w:r w:rsidR="00FA27B5" w:rsidRPr="00FA27B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FA27B5" w:rsidRPr="00FA27B5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="00FA2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27B5">
        <w:rPr>
          <w:rFonts w:ascii="Times New Roman" w:hAnsi="Times New Roman" w:cs="Times New Roman"/>
          <w:sz w:val="24"/>
          <w:szCs w:val="24"/>
          <w:lang w:val="en-US"/>
        </w:rPr>
        <w:t>destul</w:t>
      </w:r>
      <w:proofErr w:type="spellEnd"/>
      <w:r w:rsidR="00FA2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de mare la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care au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devenit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puternică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instituție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control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comunitatea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datorită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faptului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pandemia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permis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afirmație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critică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pe Internet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considerată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amenințare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958C4C" w14:textId="77777777" w:rsidR="008B266C" w:rsidRPr="008B266C" w:rsidRDefault="008B266C" w:rsidP="008B266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special al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inteligenței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criza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globală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fenomen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complet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unic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Primului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de-al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doilea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Război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Mondial,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inteligența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determinat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direcția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principală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operațiunilor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militare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permis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preventive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combaterea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opoziției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nesistemice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plus,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încă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din 1915, o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serie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țări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identificat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epidemiile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una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principalele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amenințări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trebui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cruciale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3434B9" w14:textId="77777777" w:rsidR="008B266C" w:rsidRPr="008B266C" w:rsidRDefault="008B266C" w:rsidP="008B266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Răspândirea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virusului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Ebola pe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continentul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African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2016 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confirmat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teza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Europeană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condiții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epidemiologice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extrem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favorabile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rămân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aproape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singura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sursă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obiectivă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fi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internațional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prezent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inteligența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îndeplinește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sarcini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interdependente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anticipeze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pregătită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focare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bolii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D77361" w14:textId="77777777" w:rsidR="008B266C" w:rsidRPr="008B266C" w:rsidRDefault="008B266C" w:rsidP="008B266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Imaginile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satelit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interceptarea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negocierilor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furtul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populare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colectare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amenințare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coronavirusului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. Cu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atenție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analizei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colectate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din diverse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analiștilor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profesioniști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coronavirusului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devenit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una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populare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71FF5E" w14:textId="77777777" w:rsidR="008B266C" w:rsidRPr="008B266C" w:rsidRDefault="008B266C" w:rsidP="008B26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întreagă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gamă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utilizată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colectarea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operaționale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direcția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principală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Externe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Federal de Securitate,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Federal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"E" al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Afacerilor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Interne).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răspândirea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coronavirusului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originea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impactul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stării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spirit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societate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organizațiile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specializate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monitorizează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traficul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mesaje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epicentrele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pandemiei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controla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focare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infecție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posibile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tulburări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5E9CA8" w14:textId="77777777" w:rsidR="008B266C" w:rsidRPr="008B266C" w:rsidRDefault="008B266C" w:rsidP="008B26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Un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monitorizare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funcționează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aproape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țările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lumii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care au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modernizat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semnificativ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colectare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Datorită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fapt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lume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acum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capabile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proceseze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rapid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la 1,500 terabytes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coronavirus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tulburările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cauzate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0.00001 minute.</w:t>
      </w:r>
    </w:p>
    <w:p w14:paraId="73AC94E5" w14:textId="77777777" w:rsidR="008B266C" w:rsidRPr="008B266C" w:rsidRDefault="008B266C" w:rsidP="008B26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Global Security Program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Raportare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(GSRP)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vizibil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activă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Unite, 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specialiști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misiuni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diplomatice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diverse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țări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colecteze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laborator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originea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COVID-19 la Wuhan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Institutul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Virusologie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plus, GSRP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colectarea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cantității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maxime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pregătirile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militare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statelor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pandemie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D91A6A" w14:textId="77777777" w:rsidR="008B266C" w:rsidRPr="008B266C" w:rsidRDefault="008B266C" w:rsidP="008B266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lastRenderedPageBreak/>
        <w:t>Între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confruntă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prezent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care pot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afecta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națională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96ADE5" w14:textId="29D72CDA" w:rsidR="008377C7" w:rsidRDefault="008B266C" w:rsidP="008B26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Una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scăzut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identificarea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fiabile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false.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datorează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primul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rând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faptului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Pandemia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generat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mulțime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zvonuri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concepții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greșite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primit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acoperire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națională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prezent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destul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dificil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se determine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sursa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primară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se determine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fiabilitatea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furnizate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integral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66C">
        <w:rPr>
          <w:rFonts w:ascii="Times New Roman" w:hAnsi="Times New Roman" w:cs="Times New Roman"/>
          <w:sz w:val="24"/>
          <w:szCs w:val="24"/>
          <w:lang w:val="en-US"/>
        </w:rPr>
        <w:t>sursele</w:t>
      </w:r>
      <w:proofErr w:type="spellEnd"/>
      <w:r w:rsidRPr="008B26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E7EEA4" w14:textId="77777777" w:rsidR="008377C7" w:rsidRDefault="008377C7" w:rsidP="008377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529B01" w14:textId="77777777" w:rsidR="008377C7" w:rsidRDefault="008377C7" w:rsidP="008377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8F3B5F" w14:textId="0E08ACF3" w:rsidR="008377C7" w:rsidRPr="008377C7" w:rsidRDefault="008377C7" w:rsidP="008377C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77C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8377C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Controlul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armamentului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 strategic din SUA </w:t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Federaţia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7C7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8377C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0090875B" w14:textId="77777777" w:rsidR="00FA27B5" w:rsidRDefault="00FA27B5" w:rsidP="008377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CE75B0" w14:textId="77777777" w:rsidR="00B775E2" w:rsidRPr="00B775E2" w:rsidRDefault="00B775E2" w:rsidP="00B775E2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prăbușirea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URSS,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aproape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armele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tactice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republici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mutate pe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teritoriul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Ruse. Dar pe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teritoriul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Ucrainei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Belarusului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Kazahstanului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câteva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mii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focoase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rămas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pe ICBM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TB pe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teritoriile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lor,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Moscova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păstrat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controlul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operațional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insistat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respingerii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complete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state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independente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armele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șopârlă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Kazahstanul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Belarus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rapid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avut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loc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lungă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dezbatere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Ucraina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căreia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exprimat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opinia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oportunitatea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menținerii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statutului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nuclear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oarecare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măsură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urmă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1992,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semnat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Protocolul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Lisabona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prevedea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concentrarea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focoaselor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sovietice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singurul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succesor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al URSS pe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temă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eliminarea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vehiculelor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livrare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infrastructurii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republici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post-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sovietice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statutul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nenuclear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Ucraina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Belarus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Kazahstan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împreună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Unite,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devenit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părți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START-1.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s-au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alăturat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TNP ca state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părți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66B573" w14:textId="77777777" w:rsidR="00B775E2" w:rsidRPr="00B775E2" w:rsidRDefault="00B775E2" w:rsidP="00B775E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soluționarea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ratificarea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START-1 la 5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1994,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reducerile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arme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început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puse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1995,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Kazahstan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1996,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Ucraina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Belarus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predat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Rusiei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focoasele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lor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șopârlă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majoritatea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dezmembrate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complet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ucrainene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același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existat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lichidare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lansatoarelor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mine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Kazahstan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Ucraina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bombardierele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grele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Ucraina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le-a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moștenit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eliminate,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celălalt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transferat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condiții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comerciale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același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implementare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reducerilor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arme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curs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desfășurare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EB9A4D" w14:textId="77777777" w:rsidR="00B775E2" w:rsidRPr="00B775E2" w:rsidRDefault="00B775E2" w:rsidP="00B775E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sfârșitul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2001,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așa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prevede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START-1,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-au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îndeplinit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condițiile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reducerea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armelor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realizare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controlului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armelor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ținând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prima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dată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s-au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reduceri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nu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restricții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așa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stipulează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OSV-1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OSV-2 din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epoca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Războiului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Rece) ale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armelor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ofensive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sarcini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necesitat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cheltuieli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eforturi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diplomatice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serioase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rezolvarea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problemei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moștenirii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sovietice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complex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scară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largă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verificare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teren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Întrucât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START-1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15 ani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încheiere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restricțiile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cantitative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serie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restricții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mecanismul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inspecțiilor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notificărilor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fața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locului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rămas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5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2009.</w:t>
      </w:r>
    </w:p>
    <w:p w14:paraId="668B39A3" w14:textId="77777777" w:rsidR="00B775E2" w:rsidRPr="00B775E2" w:rsidRDefault="00B775E2" w:rsidP="00B775E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2F0EDD" w14:textId="77777777" w:rsidR="00B775E2" w:rsidRPr="00B775E2" w:rsidRDefault="00B775E2" w:rsidP="00B775E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Aproape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imediat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START-1,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început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negocierile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ruso-americane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reduceri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radicale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armelor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ofensive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3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ianuarie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1993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Moscova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președinții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B. N.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Elțîn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Bătrânul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Bush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semnat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reducerea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limitarea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armelor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ofensive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START-2).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Noul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prevedea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reducerea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focoaselor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transportatorii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desfășurați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3000-3500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unități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2003. El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interzis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echiparea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ICBM-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urilor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sol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focoase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orientare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individuale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separabile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RG IN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avut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voie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echipeze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Slbm-uri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ICBM - urile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grele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rusești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supuse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distrugerii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complete</w:t>
      </w:r>
    </w:p>
    <w:p w14:paraId="544A9C6C" w14:textId="77777777" w:rsidR="00B775E2" w:rsidRPr="00B775E2" w:rsidRDefault="00B775E2" w:rsidP="00B775E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Senatul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SUA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ratificarea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START-2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1996.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prezentat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organelor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legislative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ratificare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apoi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retras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explicat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serie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circumstanțe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: motive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interne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opoziția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opoziției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deteriorarea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relațiilor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legătură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evenimentele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jurul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Kosovo,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extinderea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NATO.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Obiecțiile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față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esența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semnificative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Oponenții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subliniat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dispoziția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interzicerea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ICBM cu un high-tech 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duce la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slăbire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componentei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terestre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tradițional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semnificative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triadei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slăbi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forțele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ofensive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măsură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mică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punând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tradițional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 accent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mare pe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componentele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maritime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aeriene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sfârșitul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anilor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1990, SUA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intenționează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schimbe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ABM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apoi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retragă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devenit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 factor din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important care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împiedicat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ratificarea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START-2.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urmă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aprilie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2000,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 - 2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ratificat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ambele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camere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Adunării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Ruse.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realizat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pachet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așa-numitele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acorduri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la New York din 1997,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semnate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președinții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Ruse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acorduri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prelungirea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termenului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limită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punerea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START-2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2007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limitat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 de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implementa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național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apărare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antirachetă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ABM.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condiționat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START-2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ratifice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acordurile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la New York.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Senatul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american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refuzat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chiar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considerare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ratificarea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acordurilor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la New York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START-2 nu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intrat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Respingerea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Rusiei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avut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loc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retragerea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SUA din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ABM.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Negocierile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viitorul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 - 3, care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începuse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stagnat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8CE1BE" w14:textId="77777777" w:rsidR="00B775E2" w:rsidRPr="00B775E2" w:rsidRDefault="00B775E2" w:rsidP="00B775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ambele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părți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continuat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caute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modalități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duce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reduceri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profunde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armelor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ofensive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dictat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serie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considerente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primul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rând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mare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transportatori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rachete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aviație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SSBMS, care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dezvoltat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inițial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anumită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durată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viață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necesitat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reparații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serioase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ICBM care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inițial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implementate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anilor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1970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1980,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viață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extinsă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1990, URSS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anunțat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prezența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62 SSBMS,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2001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erau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retragere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alunecărilor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teren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SSBMS din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compoziția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luptă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componentei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marine triad s-a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datorat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lipsei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a-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efectua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reparația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Situația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complicată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rachetele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RS-20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grele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produse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fabrică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din Dnepropetrovsk (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Ucraina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prăbușirea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URSS,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posibilitatea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producției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suplimentare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înlocui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-au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servit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practic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blocată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Dintr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motiv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similar,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eliminarea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sistemelor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lastRenderedPageBreak/>
        <w:t>rachete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feroviare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luptă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rachete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RT-23 UTTH ("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Mblodets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UU-24) de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luptă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Americanii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avut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serioase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menținerea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potențialului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forțelor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D36C75" w14:textId="77777777" w:rsidR="00B775E2" w:rsidRPr="00B775E2" w:rsidRDefault="00B775E2" w:rsidP="00B775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Un alt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stimulent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important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favoarea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reducerilor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armelor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ofensive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schimbarea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componentei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relațiile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militaro-politice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Aducerea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prim plan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noilor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amenințări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ambelor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țări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necesitat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trecerea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parteneriate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Relații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aliate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devenit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deosebit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acut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2001.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plus,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etapă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principială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a "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scoate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paranteze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puțin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vreme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dezacorduri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problema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apărării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antirachetă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7FB23F" w14:textId="77777777" w:rsidR="00B775E2" w:rsidRPr="00B775E2" w:rsidRDefault="00B775E2" w:rsidP="00B775E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sfârșitul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2001,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ținând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seama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înțelegerea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reciprocă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emergentă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erau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gata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pună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spatele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dezacordurile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START-2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problemele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apărare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antirachetă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avanseze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reduceri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profunde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START.</w:t>
      </w:r>
    </w:p>
    <w:p w14:paraId="399EA1D3" w14:textId="22BF62B2" w:rsidR="00FA27B5" w:rsidRDefault="00B775E2" w:rsidP="00B775E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noiembrie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2001,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summit-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ruso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-American de la Washington,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președintele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J. Bush Jr.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anunțat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reduce unilateral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focoaselor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desfășurate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operațional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1,700-2,200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următorul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deceniu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Președintele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Vladimir Putin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declarat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același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gata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reducă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1.500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focoase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Inițial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declarat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formalizarea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obligațiilor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paralele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unilaterale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sub forma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document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control al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armelor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același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s-au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referit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acum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 nu sunt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adversari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ci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aliați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nu sunt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aliați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Britanie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Franța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decid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compoziției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forțelor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rândul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insistat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noul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primească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formă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contractuală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explicat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necesitatea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predictibilitatea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țări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sfera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nucleară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deoarece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parteneriatul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era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fragil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existența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fi un factor important care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 impact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pozitiv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puteri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plus, un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mecanism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permanent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inspecții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schimburi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eliminarea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preocupărilor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emergente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punerii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sine un element important al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controlului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armelor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urmă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SUA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argumentul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rusesc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DD0921" w14:textId="77777777" w:rsidR="00B775E2" w:rsidRPr="00B775E2" w:rsidRDefault="00B775E2" w:rsidP="00B775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La 24 Mai 2002,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Moscova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președinții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V. V. Putin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J. Bush Jr.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semnat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reducerile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ofensive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SNP).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conține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obligațiile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părților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a reduce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focoase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desfășurate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operațional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totală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părți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depășească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1.700-2.200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unități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31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2012.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limită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3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mică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START-1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implementat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moment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treime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mică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planificat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atins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START-2.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SNP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diferă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acordurile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anterioare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tip,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obliga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părțile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efectueze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reduceri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același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mod.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conținea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dispoziție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căreia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părți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determină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compoziția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armelor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sale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ofensive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limitei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totale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focoase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desfășurate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operativ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nu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înregistrate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subniveluri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vehiculele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livrare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(ICBMs, SLBMs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TB). Nu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existat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nici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interdicție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restricții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ICBM cu un high-tech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nu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niciun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calendar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interimar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lastRenderedPageBreak/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atingerea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limitei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focoasele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1.700-2.200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unități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stabilit-31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2012 .</w:t>
      </w:r>
      <w:proofErr w:type="gramEnd"/>
    </w:p>
    <w:p w14:paraId="41C60B6B" w14:textId="77777777" w:rsidR="00B775E2" w:rsidRPr="00B775E2" w:rsidRDefault="00B775E2" w:rsidP="00B775E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același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presupus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START-1,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adică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5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2009,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restricțiile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conținute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rămas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referit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"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regula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nou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tip de ICBM", conform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căreia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interzisă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testarea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ICBM cu ICBM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înaltă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frecvență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ICBM monobloc existent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schimba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parametrii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externi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avut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sfârșitul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2009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echipeze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ICBM-urile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Topol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-M, care au un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focos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focoase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suplimentare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2009,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teste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aprilie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2010 .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Am pus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ICBM-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RS-24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focoase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alertă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RS-24 ICBM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esență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produsul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modernizări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profunde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Topol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>-M ICBM.</w:t>
      </w:r>
    </w:p>
    <w:p w14:paraId="4AEA3628" w14:textId="77777777" w:rsidR="00B775E2" w:rsidRPr="00B775E2" w:rsidRDefault="00B775E2" w:rsidP="00B775E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SNP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semnificativ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diferit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anterioare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devenit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obișnuite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erau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volume care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descriu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detaliu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nivelurile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subsolurile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regulile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contabile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procedurile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inspecție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etc.,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SNP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lungime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pagini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nu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descriere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regulilor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verificare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ea.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negocierilor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precedat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Părțile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convenit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crearea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comisii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bilaterale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punerea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organizeze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reuniuni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puțin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pe an.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Problemele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SNP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fi,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discutate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Grupului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Consultativ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înființat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președinții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Federației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Ruse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Statelor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Unite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studia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modalitățile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creștere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transparenței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predictibilității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existat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mecanism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inspecție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fața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locului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Tratatului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START-1, care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permis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obținerea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părțile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le-au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acel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moment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obligațiilor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decurg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START-1.</w:t>
      </w:r>
    </w:p>
    <w:p w14:paraId="0C0265A6" w14:textId="4110FFD7" w:rsidR="00FA27B5" w:rsidRDefault="00B775E2" w:rsidP="00B775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La 5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2009,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START-1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expirat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dispozițiile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sale,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schimbul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inspecții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încetat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aplice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special, un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inspectori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americani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verificat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constant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perimetrul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fabricii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ruse din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Votkinsk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care produce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rachete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balistice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plecat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patria lor.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Practica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vizitelor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reciproce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inspectorilor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bazele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forțelor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ofensive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ruse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americane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întreruptă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Restricțiile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geografice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zonele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desfășurarea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temporară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ICBM-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urilor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mobile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rusești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("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Topol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Topol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-M")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încetat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aplice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Teoretic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ambele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părți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schimbe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componentele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triadei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forțelor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5E2">
        <w:rPr>
          <w:rFonts w:ascii="Times New Roman" w:hAnsi="Times New Roman" w:cs="Times New Roman"/>
          <w:sz w:val="24"/>
          <w:szCs w:val="24"/>
          <w:lang w:val="en-US"/>
        </w:rPr>
        <w:t>strategice</w:t>
      </w:r>
      <w:proofErr w:type="spellEnd"/>
      <w:r w:rsidRPr="00B775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AACC19" w14:textId="77777777" w:rsidR="00FA27B5" w:rsidRDefault="00FA27B5" w:rsidP="008377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8F1988" w14:textId="14BFECE7" w:rsidR="00C834AE" w:rsidRDefault="008377C7" w:rsidP="008377C7">
      <w:pPr>
        <w:rPr>
          <w:rFonts w:ascii="Times New Roman" w:hAnsi="Times New Roman" w:cs="Times New Roman"/>
          <w:sz w:val="24"/>
          <w:szCs w:val="24"/>
        </w:rPr>
      </w:pPr>
      <w:r w:rsidRPr="008377C7">
        <w:rPr>
          <w:rFonts w:ascii="Times New Roman" w:hAnsi="Times New Roman" w:cs="Times New Roman"/>
          <w:sz w:val="24"/>
          <w:szCs w:val="24"/>
        </w:rPr>
        <w:t>3.</w:t>
      </w:r>
      <w:r w:rsidRPr="008377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77C7">
        <w:rPr>
          <w:rFonts w:ascii="Times New Roman" w:hAnsi="Times New Roman" w:cs="Times New Roman"/>
          <w:sz w:val="24"/>
          <w:szCs w:val="24"/>
        </w:rPr>
        <w:t>Intervenţia</w:t>
      </w:r>
      <w:proofErr w:type="spellEnd"/>
      <w:r w:rsidRPr="0083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7C7">
        <w:rPr>
          <w:rFonts w:ascii="Times New Roman" w:hAnsi="Times New Roman" w:cs="Times New Roman"/>
          <w:sz w:val="24"/>
          <w:szCs w:val="24"/>
        </w:rPr>
        <w:t>umanitară</w:t>
      </w:r>
      <w:proofErr w:type="spellEnd"/>
      <w:r w:rsidRPr="008377C7">
        <w:rPr>
          <w:rFonts w:ascii="Times New Roman" w:hAnsi="Times New Roman" w:cs="Times New Roman"/>
          <w:sz w:val="24"/>
          <w:szCs w:val="24"/>
        </w:rPr>
        <w:t>;</w:t>
      </w:r>
    </w:p>
    <w:p w14:paraId="04B9ABB3" w14:textId="6D00EE10" w:rsidR="00827565" w:rsidRDefault="00827565" w:rsidP="00827565">
      <w:pPr>
        <w:rPr>
          <w:rFonts w:ascii="Times New Roman" w:hAnsi="Times New Roman" w:cs="Times New Roman"/>
          <w:sz w:val="24"/>
          <w:szCs w:val="24"/>
        </w:rPr>
      </w:pPr>
    </w:p>
    <w:p w14:paraId="57B9DE09" w14:textId="0778B183" w:rsidR="00827565" w:rsidRDefault="00827565" w:rsidP="0082756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Definiția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intervenției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umanitare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implică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contradicție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. Pe de o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dorința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82756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ajuta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populația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stat care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suferă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război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civil,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tiranie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încălcarea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lor,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, pe de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forței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armate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scop,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chiar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uman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violența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exemple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operațiunile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militare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efectuate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scopuri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umanitare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provocat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moartea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mare de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civili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civili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plus,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conceptul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război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umanitar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contravine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fundamental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internațional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Cartei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ONU.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urmă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interzice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țărilor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folosească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forța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armată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întâi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unilateral. Cu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demn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remarcat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organismele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ONU,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autoriza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forțelor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militare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restabili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pacea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plus,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nefolosirea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lastRenderedPageBreak/>
        <w:t>forței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relațiile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suveranității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statului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soluționarea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pașnică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conflictelor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recunoscute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principiile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principale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65">
        <w:rPr>
          <w:rFonts w:ascii="Times New Roman" w:hAnsi="Times New Roman" w:cs="Times New Roman"/>
          <w:sz w:val="24"/>
          <w:szCs w:val="24"/>
          <w:lang w:val="en-US"/>
        </w:rPr>
        <w:t>internațional</w:t>
      </w:r>
      <w:proofErr w:type="spellEnd"/>
      <w:r w:rsidRPr="008275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8B4059" w14:textId="2A53AE38" w:rsidR="0060394E" w:rsidRPr="0060394E" w:rsidRDefault="0060394E" w:rsidP="0082756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un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alternativ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justifică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deplin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război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umanitar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Suporterii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intervenției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umanitare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justifică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legitimitatea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fenomen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bazat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conceptul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universalității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omului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Sensul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concept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țările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-au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asumat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obligația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respecta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Carta ONU din 1945,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Declarația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Universală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Omului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din 1948,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Actul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Final de la Helsinki din 1975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normative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proclama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universal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inalienabil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omului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simultan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devenit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garanții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drepturi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state au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recunoscut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încălcare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masivă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libertăților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fundamentale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omului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catastrofă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umanitară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exclusiv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problemă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internă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anumite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țări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14:paraId="3DCAC3DB" w14:textId="43B67568" w:rsidR="0060394E" w:rsidRDefault="0060394E" w:rsidP="0082756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dispoziții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state nu au "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așteptat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întotdeauna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permisiunea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ONU de </w:t>
      </w:r>
      <w:proofErr w:type="gram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interveni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scopuri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umanitare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operațiunea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militară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NATO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împotriva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Federale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Iugoslavia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1999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justificată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ca o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intervenție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umanitară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Statelor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Unite,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ciuda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absenței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mandat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ONU. Este evident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Alianța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Nord-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Atlantică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acționat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ocolind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al ONU,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deoarece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împotriva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acțiunilor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violente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împotriva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Serbiei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respins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rezoluția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relevantă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forței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. Din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acțiunile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NATO au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nelegitime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reprezentat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agresiunea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Occidentală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împotriva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țări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mici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Motivul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intervenției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Conflictul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interetnic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albanezi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sârbi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trăit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istoric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Kosovo.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Motivul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începerea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ostilităților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NATO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prezența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trupelor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sârbe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teritoriul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provinciei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Kosovo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Metohija.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Autoritățile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sârbe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acuzate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epurare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etnică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politic al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intervenției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sfârșitul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războiului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din Kosovo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controlul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ulterior al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forțe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numită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forța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Kosovo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condusă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de NATO, care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trebuia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mențină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stabilitatea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Kosovo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Metohija. Mai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târziu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la 17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februarie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2008, Kosovo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declarat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independența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față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de Serbia,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provocat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reacție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mixtă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comunitatea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mondială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Noua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Republică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Kosovo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rămâne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un stat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parțial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recunoscut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cărui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suveranitate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recunoscută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de 111 state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ale ONU. Doi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cinci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permanenți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al ONU -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China - nu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recunosc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independența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autoproclamată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 Kosovo,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permite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devină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drepturi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depline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Organizației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luăm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considerare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intervenția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NATO din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punctul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pierderilor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demn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remarcat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deceselor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militare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civile nu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încă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exactitate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. Conform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estimărilor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autorităților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sârbe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aproximativ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2,5 mii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89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ucise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bombardamentului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. 12,5 mii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rănite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Organizația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omului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Human Rights Watch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confirmat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90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incidente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civilii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uciși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bombardamentelor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NATO.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oficiale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ale NATO,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campaniei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Alianța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pierdut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militari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uciși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echipajul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elicopter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american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AN-64 care s-a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prăbușit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zbor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antrenament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94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394E">
        <w:rPr>
          <w:rFonts w:ascii="Times New Roman" w:hAnsi="Times New Roman" w:cs="Times New Roman"/>
          <w:sz w:val="24"/>
          <w:szCs w:val="24"/>
          <w:lang w:val="en-US"/>
        </w:rPr>
        <w:t xml:space="preserve"> Albania.</w:t>
      </w:r>
    </w:p>
    <w:p w14:paraId="2C41BF31" w14:textId="77777777" w:rsidR="0002023E" w:rsidRPr="0002023E" w:rsidRDefault="0002023E" w:rsidP="0002023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cunoscute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exemple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intervenție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umanitară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operațiunea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Statelor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Unite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aliaților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săi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Irak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Motivul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invaziei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americane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țări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suverane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martie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2003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legătura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regimului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Hussein cu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terorismul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internațional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mișcarea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Al-Qaeda,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căutarea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distrugerea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armelor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distrugere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masă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războiul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împotriva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tiraniei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crearea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democrații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stabile"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țară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Operațiunea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efectuată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rezoluțiilor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al ONU nr. 678,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lastRenderedPageBreak/>
        <w:t>Consiliul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autorizează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cooperează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guvernul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Kuweitului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utilizeze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mijloacele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punerea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Rezoluției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urmă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gram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autorizat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niciodată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forței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împotriva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Irakului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intervenției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primul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rând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izbucnirea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conflict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militar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interiorul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țării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2011,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doilea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rând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îndepărtarea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Saddam Hussein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Partidului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Baath de la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putere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treilea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rând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crearea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nou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guvern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irakian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Irakul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ocupat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forțele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Aliate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sfârșitul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campaniei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militare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care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finalizat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pe 15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2011.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operațiuni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12,657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cetățeni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Irakieni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uciși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printre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7,269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civili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comparație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forțele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aliate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Statelor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Unite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Marii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Britanii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pierderile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s-au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ridicat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la 172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79F224" w14:textId="292BC8EB" w:rsidR="0002023E" w:rsidRDefault="0002023E" w:rsidP="0002023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Un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recent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intervenție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umanitară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operațiunea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militară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NATO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Libia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2011.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Intervenția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autorizat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Securitate al ONU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Rezoluția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Nr 1973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Martie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17, 2011,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proteja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civilii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la brut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încălcările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sistematice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omului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detenții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arbitrare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dispariții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forțate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tortură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execuții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sumare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Campania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militară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care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durat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aproximativ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dus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răsturnarea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Gaddafi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eliminarea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din Jamahiriya - o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formă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public (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experți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- de stat)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gram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existat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Libia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din 1977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2011.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Puterea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țară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mâinile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Național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Tranziție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Intervenția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dus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de-al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doilea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război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civil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libian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ascensiunea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Statului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Islamic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Libia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aceea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țară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format un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guvern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puternic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rămâne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ridicat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instabilitate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politică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total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morți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răniți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nu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putut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determinat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date,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700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morți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4.000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civili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răniți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estimări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victimele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s-au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ridicat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la 1.100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ucise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4.500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rănite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bombardarea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aeronavelor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NATO.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conflictului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armat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peste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400 de mii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refugiați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forțați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părăsească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Libia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19204F" w14:textId="77777777" w:rsidR="0002023E" w:rsidRPr="0002023E" w:rsidRDefault="0002023E" w:rsidP="0002023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vorbim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intervenția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umanitară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politica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externă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Rusiei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demn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remarcat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intervenția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Federației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Ruse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conflictul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armat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Osetia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Sud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August 2008.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operațiune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motivată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țara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noastră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nevoia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a "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forța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pacea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" pe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părțile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opuse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ostilităților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președinții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Abhaziei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Osetiei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Sud,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Georgiei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Rusiei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semnat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un plan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soluționare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pașnică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conflictului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război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cinci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avut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consecințe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geopolitice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economice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semnificative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recunoscut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Osetia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Sud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Abhazia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ca state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independente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câteva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târziu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Georgia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întrerupt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relațiile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diplomatice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Federația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Rusă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același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aderare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Georgiei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la NATO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încetinit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el.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Pierderile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părților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conflictului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sunt estimate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moduri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Georgia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furnizează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date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pierderile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sale: 412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morți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1747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răniți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24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dispăruți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estimează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ucise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inamic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la 3.000.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același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pierderile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rusești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s-au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ridicat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la 67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morți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283 de </w:t>
      </w:r>
      <w:proofErr w:type="spellStart"/>
      <w:proofErr w:type="gram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răniți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14:paraId="0FC7B072" w14:textId="7F8FB942" w:rsidR="0002023E" w:rsidRPr="0060394E" w:rsidRDefault="0002023E" w:rsidP="0002023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zilele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noastre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intervenției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umanitare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devine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răspândită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ciuda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fapt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problema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posibilităților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efectua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acțiuni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armate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Statelor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preveni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încălcările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masă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omului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rămâne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discutabilă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motivelor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mecanismelor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implementare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Mai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inițial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intervenției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umanitare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regulă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implică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schimbare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situației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lume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. Este important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înțelegem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esența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intervenției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umanitare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putem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determina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criteriile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utilizare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forței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armate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preveni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catastrofă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umanitară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folosim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corect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forță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circumstanțe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23E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0202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2023E" w:rsidRPr="0060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302C6"/>
    <w:multiLevelType w:val="hybridMultilevel"/>
    <w:tmpl w:val="3238EB62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C7"/>
    <w:rsid w:val="0002023E"/>
    <w:rsid w:val="0060394E"/>
    <w:rsid w:val="00827565"/>
    <w:rsid w:val="008377C7"/>
    <w:rsid w:val="008B266C"/>
    <w:rsid w:val="0097758A"/>
    <w:rsid w:val="00B775E2"/>
    <w:rsid w:val="00C834AE"/>
    <w:rsid w:val="00F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BE54"/>
  <w15:docId w15:val="{7599C2CF-9CDC-492D-A181-E66F6442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3850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stoian</dc:creator>
  <cp:keywords/>
  <dc:description/>
  <cp:lastModifiedBy>denis stoian</cp:lastModifiedBy>
  <cp:revision>1</cp:revision>
  <dcterms:created xsi:type="dcterms:W3CDTF">2021-12-03T13:14:00Z</dcterms:created>
  <dcterms:modified xsi:type="dcterms:W3CDTF">2021-12-03T14:34:00Z</dcterms:modified>
</cp:coreProperties>
</file>