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D2" w:rsidRDefault="00126AD2" w:rsidP="00126AD2">
      <w:pPr>
        <w:ind w:left="1276" w:hanging="1276"/>
        <w:jc w:val="center"/>
        <w:rPr>
          <w:b/>
          <w:lang w:val="ro-RO"/>
        </w:rPr>
      </w:pPr>
      <w:r>
        <w:rPr>
          <w:b/>
          <w:lang w:val="ro-RO"/>
        </w:rPr>
        <w:t>Tema V. Coeficienţii de corelaţie: Spearman şi Pearson</w:t>
      </w:r>
    </w:p>
    <w:p w:rsidR="00126AD2" w:rsidRDefault="00126AD2" w:rsidP="00126AD2">
      <w:pPr>
        <w:ind w:left="1276" w:hanging="1276"/>
        <w:rPr>
          <w:b/>
          <w:lang w:val="ro-RO"/>
        </w:rPr>
      </w:pPr>
    </w:p>
    <w:p w:rsidR="00126AD2" w:rsidRDefault="00126AD2" w:rsidP="00126AD2">
      <w:pPr>
        <w:ind w:left="1276" w:hanging="709"/>
        <w:rPr>
          <w:b/>
          <w:lang w:val="ro-RO"/>
        </w:rPr>
      </w:pPr>
      <w:r>
        <w:rPr>
          <w:b/>
          <w:lang w:val="ro-RO"/>
        </w:rPr>
        <w:t>Unităţi de conţinut</w:t>
      </w:r>
    </w:p>
    <w:p w:rsidR="00126AD2" w:rsidRPr="003D70AE" w:rsidRDefault="00126AD2" w:rsidP="00126AD2">
      <w:pPr>
        <w:numPr>
          <w:ilvl w:val="0"/>
          <w:numId w:val="3"/>
        </w:numPr>
        <w:tabs>
          <w:tab w:val="clear" w:pos="888"/>
          <w:tab w:val="num" w:pos="1080"/>
        </w:tabs>
        <w:ind w:left="1134" w:hanging="414"/>
        <w:rPr>
          <w:i/>
          <w:lang w:val="ro-RO"/>
        </w:rPr>
      </w:pPr>
      <w:r w:rsidRPr="003D70AE">
        <w:rPr>
          <w:i/>
          <w:lang w:val="ro-RO"/>
        </w:rPr>
        <w:t>Corelaţia Pearson</w:t>
      </w:r>
      <w:r>
        <w:rPr>
          <w:i/>
          <w:lang w:val="ro-RO"/>
        </w:rPr>
        <w:t>.</w:t>
      </w:r>
    </w:p>
    <w:p w:rsidR="00126AD2" w:rsidRPr="003D70AE" w:rsidRDefault="00126AD2" w:rsidP="00126AD2">
      <w:pPr>
        <w:numPr>
          <w:ilvl w:val="0"/>
          <w:numId w:val="3"/>
        </w:numPr>
        <w:tabs>
          <w:tab w:val="clear" w:pos="888"/>
          <w:tab w:val="num" w:pos="1080"/>
        </w:tabs>
        <w:ind w:left="1134" w:hanging="414"/>
        <w:rPr>
          <w:b/>
          <w:i/>
          <w:lang w:val="ro-RO"/>
        </w:rPr>
      </w:pPr>
      <w:r w:rsidRPr="003D70AE">
        <w:rPr>
          <w:i/>
          <w:lang w:val="ro-RO"/>
        </w:rPr>
        <w:t>Corelaţia Spearman</w:t>
      </w:r>
      <w:r>
        <w:rPr>
          <w:i/>
          <w:lang w:val="ro-RO"/>
        </w:rPr>
        <w:t>.</w:t>
      </w:r>
    </w:p>
    <w:p w:rsidR="00126AD2" w:rsidRDefault="00126AD2" w:rsidP="00126AD2">
      <w:pPr>
        <w:rPr>
          <w:b/>
          <w:i/>
          <w:lang w:val="ro-RO"/>
        </w:rPr>
      </w:pPr>
    </w:p>
    <w:p w:rsidR="00126AD2" w:rsidRDefault="00126AD2" w:rsidP="00126AD2">
      <w:pPr>
        <w:ind w:firstLine="567"/>
        <w:rPr>
          <w:lang w:val="ro-RO"/>
        </w:rPr>
      </w:pPr>
      <w:r w:rsidRPr="00574E4E">
        <w:rPr>
          <w:b/>
          <w:lang w:val="ro-RO"/>
        </w:rPr>
        <w:t xml:space="preserve">Termeni – cheie: </w:t>
      </w:r>
      <w:r w:rsidRPr="00574E4E">
        <w:rPr>
          <w:lang w:val="ro-RO"/>
        </w:rPr>
        <w:t>coerelaţie, corelaţie negativă, corelaţie pozitivă, coeficient de corelaţie, coeficientul de corelaţie Spearman şi Pearson.</w:t>
      </w:r>
    </w:p>
    <w:p w:rsidR="00126AD2" w:rsidRDefault="00126AD2" w:rsidP="00126AD2">
      <w:pPr>
        <w:spacing w:line="240" w:lineRule="auto"/>
        <w:ind w:firstLine="567"/>
        <w:rPr>
          <w:b/>
          <w:lang w:val="ro-RO"/>
        </w:rPr>
      </w:pPr>
    </w:p>
    <w:p w:rsidR="00126AD2" w:rsidRPr="00EA5694" w:rsidRDefault="00126AD2" w:rsidP="00126AD2">
      <w:pPr>
        <w:spacing w:line="240" w:lineRule="auto"/>
        <w:ind w:firstLine="567"/>
        <w:rPr>
          <w:b/>
          <w:lang w:val="ro-RO"/>
        </w:rPr>
      </w:pPr>
      <w:r w:rsidRPr="00EA5694">
        <w:rPr>
          <w:b/>
          <w:lang w:val="ro-RO"/>
        </w:rPr>
        <w:t>La finele studierii temei masteranzii vor fi capabili</w:t>
      </w:r>
      <w:r>
        <w:rPr>
          <w:b/>
          <w:lang w:val="ro-RO"/>
        </w:rPr>
        <w:t>:</w:t>
      </w:r>
    </w:p>
    <w:p w:rsidR="00126AD2" w:rsidRPr="00CF5A22" w:rsidRDefault="00126AD2" w:rsidP="00126AD2">
      <w:pPr>
        <w:numPr>
          <w:ilvl w:val="0"/>
          <w:numId w:val="4"/>
        </w:numPr>
        <w:spacing w:line="240" w:lineRule="auto"/>
        <w:ind w:left="851" w:hanging="225"/>
        <w:jc w:val="left"/>
        <w:rPr>
          <w:lang w:val="ro-RO"/>
        </w:rPr>
      </w:pPr>
      <w:r w:rsidRPr="00CF5A22">
        <w:rPr>
          <w:lang w:val="ro-RO"/>
        </w:rPr>
        <w:t>să identifice formulele de calcul</w:t>
      </w:r>
      <w:r w:rsidRPr="00CF5A22">
        <w:rPr>
          <w:b/>
          <w:lang w:val="ro-RO"/>
        </w:rPr>
        <w:t xml:space="preserve"> </w:t>
      </w:r>
      <w:r w:rsidRPr="00CF5A22">
        <w:rPr>
          <w:lang w:val="ro-RO"/>
        </w:rPr>
        <w:t>a coeficienţilor de corelaţie;</w:t>
      </w:r>
    </w:p>
    <w:p w:rsidR="00126AD2" w:rsidRPr="00CF5A22" w:rsidRDefault="00126AD2" w:rsidP="00126AD2">
      <w:pPr>
        <w:numPr>
          <w:ilvl w:val="0"/>
          <w:numId w:val="4"/>
        </w:numPr>
        <w:spacing w:line="240" w:lineRule="auto"/>
        <w:jc w:val="left"/>
        <w:rPr>
          <w:b/>
          <w:lang w:val="ro-RO"/>
        </w:rPr>
      </w:pPr>
      <w:r w:rsidRPr="00CF5A22">
        <w:rPr>
          <w:lang w:val="ro-RO"/>
        </w:rPr>
        <w:t>să interpreteze psihologic rezultatele obţinute;</w:t>
      </w:r>
    </w:p>
    <w:p w:rsidR="00126AD2" w:rsidRPr="00CF5A22" w:rsidRDefault="00126AD2" w:rsidP="00126AD2">
      <w:pPr>
        <w:numPr>
          <w:ilvl w:val="0"/>
          <w:numId w:val="4"/>
        </w:numPr>
        <w:spacing w:line="240" w:lineRule="auto"/>
        <w:ind w:left="851" w:hanging="225"/>
        <w:jc w:val="left"/>
        <w:rPr>
          <w:b/>
          <w:lang w:val="ro-RO"/>
        </w:rPr>
      </w:pPr>
      <w:r w:rsidRPr="00CF5A22">
        <w:rPr>
          <w:lang w:val="ro-RO"/>
        </w:rPr>
        <w:t>să analizeze şi compare diverse moduri de determinate a coeficienţilor;</w:t>
      </w:r>
    </w:p>
    <w:p w:rsidR="00126AD2" w:rsidRPr="00574E4E" w:rsidRDefault="00126AD2" w:rsidP="00126AD2">
      <w:pPr>
        <w:numPr>
          <w:ilvl w:val="0"/>
          <w:numId w:val="4"/>
        </w:numPr>
        <w:rPr>
          <w:b/>
          <w:lang w:val="ro-RO"/>
        </w:rPr>
      </w:pPr>
      <w:r w:rsidRPr="00CF5A22">
        <w:rPr>
          <w:lang w:val="ro-RO"/>
        </w:rPr>
        <w:t>să determine rolul şi importanţa acestor coeficienţi.</w:t>
      </w:r>
    </w:p>
    <w:p w:rsidR="00126AD2" w:rsidRDefault="00126AD2" w:rsidP="00126AD2">
      <w:pPr>
        <w:ind w:left="1080" w:hanging="513"/>
        <w:jc w:val="center"/>
        <w:rPr>
          <w:b/>
          <w:lang w:val="en-US"/>
        </w:rPr>
      </w:pPr>
    </w:p>
    <w:p w:rsidR="00126AD2" w:rsidRPr="00126AD2" w:rsidRDefault="00126AD2" w:rsidP="00126AD2">
      <w:pPr>
        <w:ind w:left="1080" w:hanging="513"/>
        <w:jc w:val="center"/>
        <w:rPr>
          <w:b/>
          <w:lang w:val="fr-FR"/>
        </w:rPr>
      </w:pPr>
      <w:r w:rsidRPr="00126AD2">
        <w:rPr>
          <w:b/>
          <w:lang w:val="fr-FR"/>
        </w:rPr>
        <w:t>Repere teoretice</w:t>
      </w:r>
    </w:p>
    <w:p w:rsidR="00126AD2" w:rsidRPr="00126AD2" w:rsidRDefault="00126AD2" w:rsidP="00126AD2">
      <w:pPr>
        <w:ind w:firstLine="426"/>
        <w:rPr>
          <w:lang w:val="fr-FR"/>
        </w:rPr>
      </w:pPr>
    </w:p>
    <w:p w:rsidR="00126AD2" w:rsidRPr="0045084A" w:rsidRDefault="00126AD2" w:rsidP="00126AD2">
      <w:pPr>
        <w:ind w:firstLine="426"/>
        <w:rPr>
          <w:lang w:val="fr-FR"/>
        </w:rPr>
      </w:pPr>
      <w:proofErr w:type="spellStart"/>
      <w:r w:rsidRPr="0045084A">
        <w:rPr>
          <w:lang w:val="fr-FR"/>
        </w:rPr>
        <w:t>Există</w:t>
      </w:r>
      <w:proofErr w:type="spellEnd"/>
      <w:r w:rsidRPr="0045084A">
        <w:rPr>
          <w:lang w:val="fr-FR"/>
        </w:rPr>
        <w:t xml:space="preserve"> mai </w:t>
      </w:r>
      <w:proofErr w:type="spellStart"/>
      <w:r w:rsidRPr="0045084A">
        <w:rPr>
          <w:lang w:val="fr-FR"/>
        </w:rPr>
        <w:t>mulţi</w:t>
      </w:r>
      <w:proofErr w:type="spellEnd"/>
      <w:r w:rsidRPr="0045084A">
        <w:rPr>
          <w:lang w:val="fr-FR"/>
        </w:rPr>
        <w:t xml:space="preserve"> </w:t>
      </w:r>
      <w:proofErr w:type="spellStart"/>
      <w:r w:rsidRPr="0045084A">
        <w:rPr>
          <w:lang w:val="fr-FR"/>
        </w:rPr>
        <w:t>coeficienţi</w:t>
      </w:r>
      <w:proofErr w:type="spellEnd"/>
      <w:r w:rsidRPr="0045084A">
        <w:rPr>
          <w:lang w:val="fr-FR"/>
        </w:rPr>
        <w:t xml:space="preserve"> de </w:t>
      </w:r>
      <w:proofErr w:type="spellStart"/>
      <w:r w:rsidRPr="0045084A">
        <w:rPr>
          <w:lang w:val="fr-FR"/>
        </w:rPr>
        <w:t>corelaţie</w:t>
      </w:r>
      <w:proofErr w:type="spellEnd"/>
      <w:r w:rsidRPr="0045084A">
        <w:rPr>
          <w:lang w:val="fr-FR"/>
        </w:rPr>
        <w:t xml:space="preserve">. </w:t>
      </w:r>
      <w:proofErr w:type="spellStart"/>
      <w:r w:rsidRPr="0045084A">
        <w:rPr>
          <w:lang w:val="fr-FR"/>
        </w:rPr>
        <w:t>Cel</w:t>
      </w:r>
      <w:proofErr w:type="spellEnd"/>
      <w:r w:rsidRPr="0045084A">
        <w:rPr>
          <w:lang w:val="fr-FR"/>
        </w:rPr>
        <w:t xml:space="preserve"> mai </w:t>
      </w:r>
      <w:proofErr w:type="spellStart"/>
      <w:r w:rsidRPr="0045084A">
        <w:rPr>
          <w:lang w:val="fr-FR"/>
        </w:rPr>
        <w:t>comun</w:t>
      </w:r>
      <w:proofErr w:type="spellEnd"/>
      <w:r w:rsidRPr="0045084A">
        <w:rPr>
          <w:lang w:val="fr-FR"/>
        </w:rPr>
        <w:t xml:space="preserve"> </w:t>
      </w:r>
      <w:proofErr w:type="spellStart"/>
      <w:r w:rsidRPr="0045084A">
        <w:rPr>
          <w:lang w:val="fr-FR"/>
        </w:rPr>
        <w:t>şi</w:t>
      </w:r>
      <w:proofErr w:type="spellEnd"/>
      <w:r w:rsidRPr="0045084A">
        <w:rPr>
          <w:lang w:val="fr-FR"/>
        </w:rPr>
        <w:t xml:space="preserve"> </w:t>
      </w:r>
      <w:proofErr w:type="spellStart"/>
      <w:r w:rsidRPr="0045084A">
        <w:rPr>
          <w:lang w:val="fr-FR"/>
        </w:rPr>
        <w:t>folositor</w:t>
      </w:r>
      <w:proofErr w:type="spellEnd"/>
      <w:r w:rsidRPr="0045084A">
        <w:rPr>
          <w:lang w:val="fr-FR"/>
        </w:rPr>
        <w:t xml:space="preserve"> este </w:t>
      </w:r>
      <w:proofErr w:type="spellStart"/>
      <w:r w:rsidRPr="0045084A">
        <w:rPr>
          <w:lang w:val="fr-FR"/>
        </w:rPr>
        <w:t>coeficientul</w:t>
      </w:r>
      <w:proofErr w:type="spellEnd"/>
      <w:r w:rsidRPr="0045084A">
        <w:rPr>
          <w:lang w:val="fr-FR"/>
        </w:rPr>
        <w:t xml:space="preserve"> de </w:t>
      </w:r>
      <w:proofErr w:type="spellStart"/>
      <w:r w:rsidRPr="0045084A">
        <w:rPr>
          <w:lang w:val="fr-FR"/>
        </w:rPr>
        <w:t>corelaţie</w:t>
      </w:r>
      <w:proofErr w:type="spellEnd"/>
      <w:r w:rsidRPr="0045084A">
        <w:rPr>
          <w:lang w:val="fr-FR"/>
        </w:rPr>
        <w:t xml:space="preserve"> </w:t>
      </w:r>
      <w:r w:rsidRPr="0045084A">
        <w:rPr>
          <w:i/>
          <w:lang w:val="fr-FR"/>
        </w:rPr>
        <w:t>Pearson.</w:t>
      </w:r>
    </w:p>
    <w:p w:rsidR="00126AD2" w:rsidRPr="0075144C" w:rsidRDefault="00126AD2" w:rsidP="00126AD2">
      <w:pPr>
        <w:ind w:firstLine="426"/>
        <w:rPr>
          <w:spacing w:val="2"/>
          <w:lang w:val="it-IT"/>
        </w:rPr>
      </w:pPr>
      <w:r w:rsidRPr="0075144C">
        <w:rPr>
          <w:spacing w:val="2"/>
          <w:lang w:val="it-IT"/>
        </w:rPr>
        <w:t xml:space="preserve">Un </w:t>
      </w:r>
      <w:r w:rsidRPr="0075144C">
        <w:rPr>
          <w:b/>
          <w:spacing w:val="2"/>
          <w:lang w:val="it-IT"/>
        </w:rPr>
        <w:t>coeficient de corelaţie</w:t>
      </w:r>
      <w:r w:rsidRPr="0075144C">
        <w:rPr>
          <w:spacing w:val="2"/>
          <w:lang w:val="it-IT"/>
        </w:rPr>
        <w:t xml:space="preserve"> este o măsură numerică sau un indice al gradului de asociere între două seturi de scoruri. Intervalul de valori este de la maxim +1,00, prin 0,00, pînă la -1,00.</w:t>
      </w:r>
    </w:p>
    <w:p w:rsidR="00126AD2" w:rsidRDefault="00126AD2" w:rsidP="00126AD2">
      <w:pPr>
        <w:ind w:firstLine="426"/>
        <w:rPr>
          <w:lang w:val="it-IT"/>
        </w:rPr>
      </w:pPr>
      <w:r>
        <w:rPr>
          <w:b/>
          <w:lang w:val="it-IT"/>
        </w:rPr>
        <w:t xml:space="preserve">Semnul  </w:t>
      </w:r>
      <w:r w:rsidRPr="0045084A">
        <w:rPr>
          <w:rFonts w:eastAsia="TimesNewRomanPSMT"/>
          <w:lang w:val="it-IT" w:eastAsia="ru-RU"/>
        </w:rPr>
        <w:t>„+”</w:t>
      </w:r>
      <w:r>
        <w:rPr>
          <w:lang w:val="it-IT"/>
        </w:rPr>
        <w:t xml:space="preserve"> indică o corelaţie pozitivă – anume că scorurile unei variabile se măresc odată cu creşterea scorurilor celeilalte variabile. </w:t>
      </w:r>
      <w:r>
        <w:rPr>
          <w:b/>
          <w:lang w:val="it-IT"/>
        </w:rPr>
        <w:t xml:space="preserve">Semnul </w:t>
      </w:r>
      <w:r w:rsidRPr="0045084A">
        <w:rPr>
          <w:rFonts w:eastAsia="TimesNewRomanPSMT"/>
          <w:lang w:val="it-IT" w:eastAsia="ru-RU"/>
        </w:rPr>
        <w:t>„–”</w:t>
      </w:r>
      <w:r>
        <w:rPr>
          <w:lang w:val="it-IT"/>
        </w:rPr>
        <w:t xml:space="preserve"> indică o corelaţie negativă – anume că, în timp ce scorurile unei veriabile cresc, scorurile pentru cealaltă variabilă descresc.</w:t>
      </w:r>
    </w:p>
    <w:p w:rsidR="00126AD2" w:rsidRDefault="00126AD2" w:rsidP="00126AD2">
      <w:pPr>
        <w:ind w:firstLine="426"/>
        <w:rPr>
          <w:lang w:val="it-IT"/>
        </w:rPr>
      </w:pPr>
      <w:r>
        <w:rPr>
          <w:b/>
          <w:lang w:val="it-IT"/>
        </w:rPr>
        <w:t xml:space="preserve">Coeficientul </w:t>
      </w:r>
      <w:r w:rsidRPr="0075144C">
        <w:rPr>
          <w:b/>
          <w:i/>
          <w:lang w:val="it-IT"/>
        </w:rPr>
        <w:t>Spearman</w:t>
      </w:r>
      <w:r>
        <w:rPr>
          <w:b/>
          <w:lang w:val="it-IT"/>
        </w:rPr>
        <w:t xml:space="preserve"> </w:t>
      </w:r>
      <w:r>
        <w:rPr>
          <w:lang w:val="it-IT"/>
        </w:rPr>
        <w:t>este coeficientul de corelaţie Pearson aplicat unor scoruri după ce aceastea au fost ordonate crescător pentru cele două variabile în parte. Este folosit atunci, cînd premisele coeficientului de corelaţie Pearson nu sunt îndeplinite de către date – această situaţie se petrece în special, în momentul în care scorurile pentru o variabilă au o asimetrie pronunţată.</w:t>
      </w:r>
    </w:p>
    <w:p w:rsidR="00126AD2" w:rsidRDefault="00126AD2" w:rsidP="00126AD2">
      <w:pPr>
        <w:autoSpaceDE w:val="0"/>
        <w:autoSpaceDN w:val="0"/>
        <w:adjustRightInd w:val="0"/>
        <w:ind w:firstLine="426"/>
        <w:rPr>
          <w:lang w:val="ro-RO"/>
        </w:rPr>
      </w:pPr>
      <w:r>
        <w:rPr>
          <w:rFonts w:eastAsia="Times New Roman"/>
          <w:color w:val="000000"/>
          <w:lang w:val="ro-RO" w:eastAsia="ru-RU"/>
        </w:rPr>
        <w:t>O corelaţie de 1,00 indică o asociere perfectă între cele două variabile. Cu alte cuvinte, o diagramă scatter a celor două variabile va arăta că toate punctele sunt conţinute de o singură dreaptă. O valoare de 0,00 indică faptul că toate punctele din diagrama scatter sunt dispersate aleatoriu în jurul oricărei drepte desenate pe această diagramă a datelor sau sunt aranjate într-o manieră curbilinie.</w:t>
      </w:r>
    </w:p>
    <w:p w:rsidR="00126AD2" w:rsidRPr="0075144C" w:rsidRDefault="00126AD2" w:rsidP="00126AD2">
      <w:pPr>
        <w:ind w:firstLine="426"/>
        <w:rPr>
          <w:b/>
          <w:i/>
          <w:lang w:val="ro-RO"/>
        </w:rPr>
      </w:pPr>
      <w:r>
        <w:rPr>
          <w:b/>
          <w:lang w:val="ro-RO"/>
        </w:rPr>
        <w:t xml:space="preserve">Corelaţia </w:t>
      </w:r>
      <w:r w:rsidRPr="0075144C">
        <w:rPr>
          <w:b/>
          <w:i/>
          <w:lang w:val="ro-RO"/>
        </w:rPr>
        <w:t>Pearson</w:t>
      </w:r>
    </w:p>
    <w:p w:rsidR="00126AD2" w:rsidRDefault="00126AD2" w:rsidP="00126AD2">
      <w:pPr>
        <w:autoSpaceDE w:val="0"/>
        <w:autoSpaceDN w:val="0"/>
        <w:adjustRightInd w:val="0"/>
        <w:ind w:firstLine="426"/>
        <w:rPr>
          <w:lang w:val="ro-RO"/>
        </w:rPr>
      </w:pPr>
      <w:r>
        <w:rPr>
          <w:rFonts w:eastAsia="Times New Roman"/>
          <w:lang w:val="ro-RO" w:eastAsia="ru-RU"/>
        </w:rPr>
        <w:t xml:space="preserve">Vom ilustra calculul corelaţiei Pearson şi coeficientul de corelaţie </w:t>
      </w:r>
      <w:r w:rsidRPr="00DA4CFD">
        <w:rPr>
          <w:rFonts w:eastAsia="Times New Roman"/>
          <w:i/>
          <w:lang w:val="ro-RO" w:eastAsia="ru-RU"/>
        </w:rPr>
        <w:t>Spearman</w:t>
      </w:r>
      <w:r>
        <w:rPr>
          <w:rFonts w:eastAsia="Times New Roman"/>
          <w:lang w:val="ro-RO" w:eastAsia="ru-RU"/>
        </w:rPr>
        <w:t>, folosind pentru aceasta datele din tabelul următor, care reprezintă scoruri ale abilităţilor muzicale şi matematice pentru 10 copii.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816"/>
        <w:gridCol w:w="816"/>
        <w:gridCol w:w="816"/>
        <w:gridCol w:w="815"/>
        <w:gridCol w:w="815"/>
        <w:gridCol w:w="815"/>
        <w:gridCol w:w="815"/>
        <w:gridCol w:w="815"/>
        <w:gridCol w:w="815"/>
        <w:gridCol w:w="816"/>
      </w:tblGrid>
      <w:tr w:rsidR="00126AD2" w:rsidTr="00997BBD">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DA4CFD" w:rsidRDefault="00126AD2" w:rsidP="00997BBD">
            <w:pPr>
              <w:ind w:firstLine="0"/>
              <w:jc w:val="center"/>
              <w:rPr>
                <w:b/>
                <w:lang w:val="ro-RO"/>
              </w:rPr>
            </w:pPr>
            <w:r w:rsidRPr="00DA4CFD">
              <w:rPr>
                <w:b/>
                <w:lang w:val="ro-RO"/>
              </w:rPr>
              <w:t>muzică</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7</w:t>
            </w:r>
          </w:p>
        </w:tc>
      </w:tr>
      <w:tr w:rsidR="00126AD2" w:rsidTr="00997BBD">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DA4CFD" w:rsidRDefault="00126AD2" w:rsidP="00997BBD">
            <w:pPr>
              <w:ind w:firstLine="0"/>
              <w:jc w:val="center"/>
              <w:rPr>
                <w:b/>
                <w:lang w:val="ro-RO"/>
              </w:rPr>
            </w:pPr>
            <w:r w:rsidRPr="00DA4CFD">
              <w:rPr>
                <w:b/>
                <w:lang w:val="ro-RO"/>
              </w:rPr>
              <w:t>matematică</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26AD2" w:rsidRPr="00E5552D" w:rsidRDefault="00126AD2" w:rsidP="00997BBD">
            <w:pPr>
              <w:ind w:firstLine="0"/>
              <w:jc w:val="center"/>
              <w:rPr>
                <w:lang w:val="ro-RO"/>
              </w:rPr>
            </w:pPr>
            <w:r w:rsidRPr="00E5552D">
              <w:rPr>
                <w:rFonts w:eastAsia="Times New Roman"/>
                <w:sz w:val="28"/>
                <w:szCs w:val="28"/>
                <w:lang w:eastAsia="ru-RU"/>
              </w:rPr>
              <w:t>6</w:t>
            </w:r>
          </w:p>
        </w:tc>
      </w:tr>
    </w:tbl>
    <w:p w:rsidR="00126AD2" w:rsidRDefault="00126AD2" w:rsidP="00126AD2">
      <w:pPr>
        <w:ind w:firstLine="540"/>
        <w:rPr>
          <w:lang w:val="ro-RO"/>
        </w:rPr>
      </w:pPr>
    </w:p>
    <w:p w:rsidR="00126AD2" w:rsidRPr="00046203" w:rsidRDefault="00126AD2" w:rsidP="00126AD2">
      <w:pPr>
        <w:ind w:firstLine="426"/>
        <w:rPr>
          <w:b/>
          <w:lang w:val="ro-RO"/>
        </w:rPr>
      </w:pPr>
      <w:r w:rsidRPr="00046203">
        <w:rPr>
          <w:b/>
          <w:lang w:val="ro-RO"/>
        </w:rPr>
        <w:t>Introducerea datelor</w:t>
      </w:r>
    </w:p>
    <w:p w:rsidR="00126AD2" w:rsidRDefault="00126AD2" w:rsidP="00126AD2">
      <w:pPr>
        <w:autoSpaceDE w:val="0"/>
        <w:autoSpaceDN w:val="0"/>
        <w:adjustRightInd w:val="0"/>
        <w:ind w:firstLine="426"/>
        <w:rPr>
          <w:lang w:val="ro-RO"/>
        </w:rPr>
      </w:pPr>
      <w:r>
        <w:rPr>
          <w:rFonts w:eastAsia="Times New Roman"/>
          <w:b/>
          <w:lang w:val="ro-RO" w:eastAsia="ru-RU"/>
        </w:rPr>
        <w:t xml:space="preserve">Pasul 1: </w:t>
      </w:r>
      <w:r>
        <w:rPr>
          <w:rFonts w:eastAsia="Times New Roman"/>
          <w:lang w:val="ro-RO" w:eastAsia="ru-RU"/>
        </w:rPr>
        <w:t>În „Variable „View” din „Data Editor” se denumeşte primul rînd „muzică” şi al doilea rînd „matematică”.</w:t>
      </w:r>
    </w:p>
    <w:p w:rsidR="00126AD2" w:rsidRDefault="00126AD2" w:rsidP="00126AD2">
      <w:pPr>
        <w:ind w:firstLine="0"/>
        <w:jc w:val="center"/>
        <w:rPr>
          <w:lang w:val="ro-RO"/>
        </w:rPr>
      </w:pPr>
      <w:r>
        <w:rPr>
          <w:noProof/>
          <w:lang w:eastAsia="ru-RU"/>
        </w:rPr>
        <w:drawing>
          <wp:inline distT="0" distB="0" distL="0" distR="0">
            <wp:extent cx="3038475" cy="600075"/>
            <wp:effectExtent l="19050" t="0" r="9525" b="0"/>
            <wp:docPr id="3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 cstate="print"/>
                    <a:srcRect/>
                    <a:stretch>
                      <a:fillRect/>
                    </a:stretch>
                  </pic:blipFill>
                  <pic:spPr bwMode="auto">
                    <a:xfrm>
                      <a:off x="0" y="0"/>
                      <a:ext cx="3038475" cy="600075"/>
                    </a:xfrm>
                    <a:prstGeom prst="rect">
                      <a:avLst/>
                    </a:prstGeom>
                    <a:noFill/>
                    <a:ln w="9525">
                      <a:noFill/>
                      <a:miter lim="800000"/>
                      <a:headEnd/>
                      <a:tailEnd/>
                    </a:ln>
                  </pic:spPr>
                </pic:pic>
              </a:graphicData>
            </a:graphic>
          </wp:inline>
        </w:drawing>
      </w:r>
    </w:p>
    <w:p w:rsidR="00126AD2" w:rsidRDefault="00126AD2" w:rsidP="00126AD2">
      <w:pPr>
        <w:rPr>
          <w:rFonts w:eastAsia="Times New Roman"/>
          <w:sz w:val="20"/>
          <w:szCs w:val="20"/>
          <w:lang w:val="pt-BR" w:eastAsia="ru-RU"/>
        </w:rPr>
      </w:pPr>
    </w:p>
    <w:p w:rsidR="00126AD2" w:rsidRDefault="00126AD2" w:rsidP="00126AD2">
      <w:pPr>
        <w:rPr>
          <w:sz w:val="20"/>
          <w:szCs w:val="20"/>
          <w:lang w:val="pt-BR"/>
        </w:rPr>
      </w:pPr>
      <w:r>
        <w:rPr>
          <w:rFonts w:eastAsia="Times New Roman"/>
          <w:sz w:val="20"/>
          <w:szCs w:val="20"/>
          <w:lang w:val="pt-BR" w:eastAsia="ru-RU"/>
        </w:rPr>
        <w:t>* Se înl</w:t>
      </w:r>
      <w:r>
        <w:rPr>
          <w:rFonts w:ascii="NimbusRomNo9L-Regu" w:eastAsia="Times New Roman" w:hAnsi="NimbusRomNo9L-Regu" w:cs="NimbusRomNo9L-Regu"/>
          <w:sz w:val="20"/>
          <w:szCs w:val="20"/>
          <w:lang w:val="pt-BR" w:eastAsia="ru-RU"/>
        </w:rPr>
        <w:t>ă</w:t>
      </w:r>
      <w:r>
        <w:rPr>
          <w:rFonts w:eastAsia="Times New Roman"/>
          <w:sz w:val="20"/>
          <w:szCs w:val="20"/>
          <w:lang w:val="pt-BR" w:eastAsia="ru-RU"/>
        </w:rPr>
        <w:t>tur</w:t>
      </w:r>
      <w:r>
        <w:rPr>
          <w:rFonts w:ascii="NimbusRomNo9L-Regu" w:eastAsia="Times New Roman" w:hAnsi="NimbusRomNo9L-Regu" w:cs="NimbusRomNo9L-Regu"/>
          <w:sz w:val="20"/>
          <w:szCs w:val="20"/>
          <w:lang w:val="pt-BR" w:eastAsia="ru-RU"/>
        </w:rPr>
        <w:t xml:space="preserve">ă </w:t>
      </w:r>
      <w:r>
        <w:rPr>
          <w:rFonts w:eastAsia="Times New Roman"/>
          <w:sz w:val="20"/>
          <w:szCs w:val="20"/>
          <w:lang w:val="pt-BR" w:eastAsia="ru-RU"/>
        </w:rPr>
        <w:t>cele dou</w:t>
      </w:r>
      <w:r>
        <w:rPr>
          <w:rFonts w:ascii="NimbusRomNo9L-Regu" w:eastAsia="Times New Roman" w:hAnsi="NimbusRomNo9L-Regu" w:cs="NimbusRomNo9L-Regu"/>
          <w:sz w:val="20"/>
          <w:szCs w:val="20"/>
          <w:lang w:val="pt-BR" w:eastAsia="ru-RU"/>
        </w:rPr>
        <w:t xml:space="preserve">ă </w:t>
      </w:r>
      <w:r>
        <w:rPr>
          <w:rFonts w:eastAsia="Times New Roman"/>
          <w:sz w:val="20"/>
          <w:szCs w:val="20"/>
          <w:lang w:val="pt-BR" w:eastAsia="ru-RU"/>
        </w:rPr>
        <w:t>zecimale.</w:t>
      </w:r>
    </w:p>
    <w:p w:rsidR="00126AD2" w:rsidRDefault="00126AD2" w:rsidP="00126AD2">
      <w:pPr>
        <w:autoSpaceDE w:val="0"/>
        <w:autoSpaceDN w:val="0"/>
        <w:adjustRightInd w:val="0"/>
        <w:ind w:firstLine="426"/>
        <w:rPr>
          <w:rFonts w:eastAsia="Times New Roman"/>
          <w:b/>
          <w:lang w:val="pt-BR" w:eastAsia="ru-RU"/>
        </w:rPr>
      </w:pPr>
    </w:p>
    <w:p w:rsidR="00126AD2" w:rsidRDefault="00126AD2" w:rsidP="00126AD2">
      <w:pPr>
        <w:autoSpaceDE w:val="0"/>
        <w:autoSpaceDN w:val="0"/>
        <w:adjustRightInd w:val="0"/>
        <w:ind w:firstLine="426"/>
        <w:rPr>
          <w:rFonts w:eastAsia="Times New Roman"/>
          <w:lang w:val="it-IT" w:eastAsia="ru-RU"/>
        </w:rPr>
      </w:pPr>
      <w:r>
        <w:rPr>
          <w:rFonts w:eastAsia="Times New Roman"/>
          <w:b/>
          <w:lang w:val="it-IT" w:eastAsia="ru-RU"/>
        </w:rPr>
        <w:t>Pasul 2:</w:t>
      </w:r>
      <w:r>
        <w:rPr>
          <w:rFonts w:eastAsia="Times New Roman"/>
          <w:lang w:val="it-IT" w:eastAsia="ru-RU"/>
        </w:rPr>
        <w:t xml:space="preserve"> În „Data View” din „Data editor” se introduc datele pentru:</w:t>
      </w:r>
    </w:p>
    <w:p w:rsidR="00126AD2" w:rsidRDefault="00126AD2" w:rsidP="00126AD2">
      <w:pPr>
        <w:autoSpaceDE w:val="0"/>
        <w:autoSpaceDN w:val="0"/>
        <w:adjustRightInd w:val="0"/>
        <w:rPr>
          <w:rFonts w:eastAsia="Times New Roman"/>
          <w:lang w:val="it-IT" w:eastAsia="ru-RU"/>
        </w:rPr>
      </w:pPr>
      <w:r>
        <w:rPr>
          <w:rFonts w:eastAsia="Times New Roman"/>
          <w:lang w:val="it-IT" w:eastAsia="ru-RU"/>
        </w:rPr>
        <w:t xml:space="preserve"> </w:t>
      </w:r>
      <w:r>
        <w:rPr>
          <w:rFonts w:eastAsia="TimesNewRomanPSMT"/>
          <w:lang w:val="it-IT" w:eastAsia="ru-RU"/>
        </w:rPr>
        <w:t xml:space="preserve">- </w:t>
      </w:r>
      <w:r>
        <w:rPr>
          <w:rFonts w:eastAsia="Times New Roman"/>
          <w:lang w:val="it-IT" w:eastAsia="ru-RU"/>
        </w:rPr>
        <w:t>muzică – în prima coloană;</w:t>
      </w:r>
    </w:p>
    <w:p w:rsidR="00126AD2" w:rsidRDefault="00126AD2" w:rsidP="00126AD2">
      <w:pPr>
        <w:autoSpaceDE w:val="0"/>
        <w:autoSpaceDN w:val="0"/>
        <w:adjustRightInd w:val="0"/>
        <w:rPr>
          <w:rFonts w:eastAsia="Times New Roman"/>
          <w:lang w:val="it-IT" w:eastAsia="ru-RU"/>
        </w:rPr>
      </w:pPr>
      <w:r>
        <w:rPr>
          <w:rFonts w:eastAsia="Times New Roman"/>
          <w:lang w:val="ro-RO" w:eastAsia="ru-RU"/>
        </w:rPr>
        <w:t xml:space="preserve"> </w:t>
      </w:r>
      <w:r>
        <w:rPr>
          <w:rFonts w:eastAsia="TimesNewRomanPSMT"/>
          <w:lang w:val="it-IT" w:eastAsia="ru-RU"/>
        </w:rPr>
        <w:t xml:space="preserve">- </w:t>
      </w:r>
      <w:r>
        <w:rPr>
          <w:rFonts w:eastAsia="Times New Roman"/>
          <w:lang w:val="it-IT" w:eastAsia="ru-RU"/>
        </w:rPr>
        <w:t>matematică – în a doua coloană.</w:t>
      </w:r>
    </w:p>
    <w:p w:rsidR="00126AD2" w:rsidRDefault="00126AD2" w:rsidP="00126AD2">
      <w:pPr>
        <w:autoSpaceDE w:val="0"/>
        <w:autoSpaceDN w:val="0"/>
        <w:adjustRightInd w:val="0"/>
        <w:rPr>
          <w:lang w:val="ro-RO"/>
        </w:rPr>
      </w:pPr>
    </w:p>
    <w:p w:rsidR="00126AD2" w:rsidRDefault="00126AD2" w:rsidP="00126AD2">
      <w:pPr>
        <w:ind w:firstLine="540"/>
        <w:jc w:val="center"/>
        <w:rPr>
          <w:lang w:val="ro-RO"/>
        </w:rPr>
      </w:pPr>
      <w:r>
        <w:rPr>
          <w:noProof/>
          <w:lang w:eastAsia="ru-RU"/>
        </w:rPr>
        <w:drawing>
          <wp:inline distT="0" distB="0" distL="0" distR="0">
            <wp:extent cx="1285875" cy="1600200"/>
            <wp:effectExtent l="19050" t="0" r="9525" b="0"/>
            <wp:docPr id="3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 cstate="print"/>
                    <a:srcRect/>
                    <a:stretch>
                      <a:fillRect/>
                    </a:stretch>
                  </pic:blipFill>
                  <pic:spPr bwMode="auto">
                    <a:xfrm>
                      <a:off x="0" y="0"/>
                      <a:ext cx="1285875" cy="1600200"/>
                    </a:xfrm>
                    <a:prstGeom prst="rect">
                      <a:avLst/>
                    </a:prstGeom>
                    <a:noFill/>
                    <a:ln w="9525">
                      <a:noFill/>
                      <a:miter lim="800000"/>
                      <a:headEnd/>
                      <a:tailEnd/>
                    </a:ln>
                  </pic:spPr>
                </pic:pic>
              </a:graphicData>
            </a:graphic>
          </wp:inline>
        </w:drawing>
      </w:r>
    </w:p>
    <w:p w:rsidR="00126AD2" w:rsidRDefault="00126AD2" w:rsidP="00126AD2">
      <w:pPr>
        <w:ind w:firstLine="426"/>
        <w:rPr>
          <w:rFonts w:eastAsia="Times New Roman"/>
          <w:b/>
          <w:bCs/>
          <w:lang w:val="en-US" w:eastAsia="ru-RU"/>
        </w:rPr>
      </w:pPr>
    </w:p>
    <w:p w:rsidR="00126AD2" w:rsidRPr="00DA4CFD" w:rsidRDefault="00126AD2" w:rsidP="00126AD2">
      <w:pPr>
        <w:ind w:firstLine="426"/>
        <w:rPr>
          <w:b/>
          <w:i/>
          <w:lang w:val="ro-RO"/>
        </w:rPr>
      </w:pPr>
      <w:proofErr w:type="spellStart"/>
      <w:r w:rsidRPr="00046203">
        <w:rPr>
          <w:rFonts w:eastAsia="Times New Roman"/>
          <w:b/>
          <w:bCs/>
          <w:lang w:val="en-US" w:eastAsia="ru-RU"/>
        </w:rPr>
        <w:t>Corela</w:t>
      </w:r>
      <w:r w:rsidRPr="00046203">
        <w:rPr>
          <w:rFonts w:eastAsia="Times New Roman"/>
          <w:b/>
          <w:lang w:val="en-US" w:eastAsia="ru-RU"/>
        </w:rPr>
        <w:t>ţ</w:t>
      </w:r>
      <w:r w:rsidRPr="00046203">
        <w:rPr>
          <w:rFonts w:eastAsia="Times New Roman"/>
          <w:b/>
          <w:bCs/>
          <w:lang w:val="en-US" w:eastAsia="ru-RU"/>
        </w:rPr>
        <w:t>ia</w:t>
      </w:r>
      <w:proofErr w:type="spellEnd"/>
      <w:r w:rsidRPr="00046203">
        <w:rPr>
          <w:rFonts w:eastAsia="Times New Roman"/>
          <w:b/>
          <w:bCs/>
          <w:lang w:val="en-US" w:eastAsia="ru-RU"/>
        </w:rPr>
        <w:t xml:space="preserve"> </w:t>
      </w:r>
      <w:r w:rsidRPr="00DA4CFD">
        <w:rPr>
          <w:rFonts w:eastAsia="Times New Roman"/>
          <w:b/>
          <w:bCs/>
          <w:i/>
          <w:lang w:val="en-US" w:eastAsia="ru-RU"/>
        </w:rPr>
        <w:t>Pearson</w:t>
      </w:r>
    </w:p>
    <w:p w:rsidR="00126AD2" w:rsidRDefault="00126AD2" w:rsidP="00126AD2">
      <w:pPr>
        <w:autoSpaceDE w:val="0"/>
        <w:autoSpaceDN w:val="0"/>
        <w:adjustRightInd w:val="0"/>
        <w:ind w:firstLine="426"/>
        <w:rPr>
          <w:rFonts w:eastAsia="Times New Roman"/>
          <w:lang w:val="en-US" w:eastAsia="ru-RU"/>
        </w:rPr>
      </w:pPr>
      <w:proofErr w:type="spellStart"/>
      <w:r w:rsidRPr="000415A7">
        <w:rPr>
          <w:rFonts w:eastAsia="Times New Roman"/>
          <w:b/>
          <w:lang w:val="en-US" w:eastAsia="ru-RU"/>
        </w:rPr>
        <w:t>Pasul</w:t>
      </w:r>
      <w:proofErr w:type="spellEnd"/>
      <w:r w:rsidRPr="000415A7">
        <w:rPr>
          <w:rFonts w:eastAsia="Times New Roman"/>
          <w:b/>
          <w:lang w:val="en-US" w:eastAsia="ru-RU"/>
        </w:rPr>
        <w:t xml:space="preserve"> 1:</w:t>
      </w:r>
      <w:r>
        <w:rPr>
          <w:rFonts w:eastAsia="Times New Roman"/>
          <w:lang w:val="ro-RO" w:eastAsia="ru-RU"/>
        </w:rPr>
        <w:t xml:space="preserve"> </w:t>
      </w:r>
      <w:r w:rsidRPr="000415A7">
        <w:rPr>
          <w:rFonts w:eastAsia="Times New Roman"/>
          <w:lang w:val="en-US" w:eastAsia="ru-RU"/>
        </w:rPr>
        <w:t xml:space="preserve">Se </w:t>
      </w:r>
      <w:proofErr w:type="spellStart"/>
      <w:r w:rsidRPr="000415A7">
        <w:rPr>
          <w:rFonts w:eastAsia="Times New Roman"/>
          <w:lang w:val="en-US" w:eastAsia="ru-RU"/>
        </w:rPr>
        <w:t>selectează</w:t>
      </w:r>
      <w:proofErr w:type="spellEnd"/>
      <w:r w:rsidRPr="000415A7">
        <w:rPr>
          <w:rFonts w:eastAsia="Times New Roman"/>
          <w:lang w:val="en-US" w:eastAsia="ru-RU"/>
        </w:rPr>
        <w:t>:</w:t>
      </w:r>
      <w:r>
        <w:rPr>
          <w:rFonts w:eastAsia="Times New Roman"/>
          <w:lang w:val="ro-RO" w:eastAsia="ru-RU"/>
        </w:rPr>
        <w:t xml:space="preserve"> </w:t>
      </w:r>
      <w:r w:rsidRPr="000415A7">
        <w:rPr>
          <w:rFonts w:eastAsia="Times New Roman"/>
          <w:lang w:val="en-US" w:eastAsia="ru-RU"/>
        </w:rPr>
        <w:t>„Analyze”,</w:t>
      </w:r>
      <w:r>
        <w:rPr>
          <w:rFonts w:eastAsia="Times New Roman"/>
          <w:lang w:val="ro-RO" w:eastAsia="ru-RU"/>
        </w:rPr>
        <w:t xml:space="preserve"> </w:t>
      </w:r>
      <w:r w:rsidRPr="000415A7">
        <w:rPr>
          <w:rFonts w:eastAsia="Times New Roman"/>
          <w:lang w:val="en-US" w:eastAsia="ru-RU"/>
        </w:rPr>
        <w:t>„</w:t>
      </w:r>
      <w:proofErr w:type="spellStart"/>
      <w:r w:rsidRPr="000415A7">
        <w:rPr>
          <w:rFonts w:eastAsia="Times New Roman"/>
          <w:lang w:val="en-US" w:eastAsia="ru-RU"/>
        </w:rPr>
        <w:t>Corelate</w:t>
      </w:r>
      <w:proofErr w:type="spellEnd"/>
      <w:r w:rsidRPr="000415A7">
        <w:rPr>
          <w:rFonts w:eastAsia="Times New Roman"/>
          <w:lang w:val="en-US" w:eastAsia="ru-RU"/>
        </w:rPr>
        <w:t>”,</w:t>
      </w:r>
      <w:r>
        <w:rPr>
          <w:rFonts w:eastAsia="Times New Roman"/>
          <w:lang w:val="ro-RO" w:eastAsia="ru-RU"/>
        </w:rPr>
        <w:t xml:space="preserve"> </w:t>
      </w:r>
      <w:proofErr w:type="gramStart"/>
      <w:r w:rsidRPr="000415A7">
        <w:rPr>
          <w:rFonts w:eastAsia="Times New Roman"/>
          <w:lang w:val="en-US" w:eastAsia="ru-RU"/>
        </w:rPr>
        <w:t>„</w:t>
      </w:r>
      <w:proofErr w:type="spellStart"/>
      <w:proofErr w:type="gramEnd"/>
      <w:r w:rsidRPr="000415A7">
        <w:rPr>
          <w:rFonts w:eastAsia="Times New Roman"/>
          <w:lang w:val="en-US" w:eastAsia="ru-RU"/>
        </w:rPr>
        <w:t>Bivariate</w:t>
      </w:r>
      <w:proofErr w:type="spellEnd"/>
      <w:r w:rsidRPr="000415A7">
        <w:rPr>
          <w:rFonts w:eastAsia="Times New Roman"/>
          <w:lang w:val="en-US" w:eastAsia="ru-RU"/>
        </w:rPr>
        <w:t>…”</w:t>
      </w:r>
    </w:p>
    <w:p w:rsidR="00126AD2" w:rsidRDefault="00126AD2" w:rsidP="00126AD2">
      <w:pPr>
        <w:autoSpaceDE w:val="0"/>
        <w:autoSpaceDN w:val="0"/>
        <w:adjustRightInd w:val="0"/>
        <w:ind w:firstLine="426"/>
        <w:rPr>
          <w:lang w:val="ro-RO"/>
        </w:rPr>
      </w:pPr>
    </w:p>
    <w:p w:rsidR="00126AD2" w:rsidRDefault="00126AD2" w:rsidP="00126AD2">
      <w:pPr>
        <w:ind w:firstLine="0"/>
        <w:jc w:val="center"/>
        <w:rPr>
          <w:lang w:val="ro-RO"/>
        </w:rPr>
      </w:pPr>
      <w:r>
        <w:rPr>
          <w:noProof/>
          <w:lang w:eastAsia="ru-RU"/>
        </w:rPr>
        <w:drawing>
          <wp:inline distT="0" distB="0" distL="0" distR="0">
            <wp:extent cx="2466975" cy="1809750"/>
            <wp:effectExtent l="19050" t="0" r="9525" b="0"/>
            <wp:docPr id="3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7" cstate="print"/>
                    <a:srcRect/>
                    <a:stretch>
                      <a:fillRect/>
                    </a:stretch>
                  </pic:blipFill>
                  <pic:spPr bwMode="auto">
                    <a:xfrm>
                      <a:off x="0" y="0"/>
                      <a:ext cx="2466975" cy="1809750"/>
                    </a:xfrm>
                    <a:prstGeom prst="rect">
                      <a:avLst/>
                    </a:prstGeom>
                    <a:noFill/>
                    <a:ln w="9525">
                      <a:noFill/>
                      <a:miter lim="800000"/>
                      <a:headEnd/>
                      <a:tailEnd/>
                    </a:ln>
                  </pic:spPr>
                </pic:pic>
              </a:graphicData>
            </a:graphic>
          </wp:inline>
        </w:drawing>
      </w:r>
    </w:p>
    <w:p w:rsidR="00126AD2" w:rsidRDefault="00126AD2" w:rsidP="00126AD2">
      <w:pPr>
        <w:autoSpaceDE w:val="0"/>
        <w:autoSpaceDN w:val="0"/>
        <w:adjustRightInd w:val="0"/>
        <w:ind w:firstLine="426"/>
        <w:rPr>
          <w:rFonts w:eastAsia="Times New Roman"/>
          <w:b/>
          <w:color w:val="000000"/>
          <w:lang w:val="ro-RO" w:eastAsia="ru-RU"/>
        </w:rPr>
      </w:pPr>
    </w:p>
    <w:p w:rsidR="00126AD2" w:rsidRDefault="00126AD2" w:rsidP="00126AD2">
      <w:pPr>
        <w:autoSpaceDE w:val="0"/>
        <w:autoSpaceDN w:val="0"/>
        <w:adjustRightInd w:val="0"/>
        <w:ind w:firstLine="426"/>
        <w:rPr>
          <w:rFonts w:eastAsia="Times New Roman"/>
          <w:color w:val="000000"/>
          <w:lang w:val="ro-RO" w:eastAsia="ru-RU"/>
        </w:rPr>
      </w:pPr>
      <w:r>
        <w:rPr>
          <w:rFonts w:eastAsia="Times New Roman"/>
          <w:b/>
          <w:color w:val="000000"/>
          <w:lang w:val="ro-RO" w:eastAsia="ru-RU"/>
        </w:rPr>
        <w:t>Pasul 2:</w:t>
      </w:r>
      <w:r>
        <w:rPr>
          <w:rFonts w:eastAsia="Times New Roman"/>
          <w:color w:val="000000"/>
          <w:lang w:val="ro-RO" w:eastAsia="ru-RU"/>
        </w:rPr>
        <w:t xml:space="preserve"> Se selectează „Muzică” şi „Matematică” şi apoi se apasă butonul </w:t>
      </w:r>
      <w:r>
        <w:rPr>
          <w:rFonts w:eastAsia="TimesNewRomanPSMT"/>
          <w:color w:val="000000"/>
          <w:lang w:val="ro-RO" w:eastAsia="ru-RU"/>
        </w:rPr>
        <w:t xml:space="preserve">►, </w:t>
      </w:r>
      <w:r>
        <w:rPr>
          <w:rFonts w:eastAsia="Times New Roman"/>
          <w:color w:val="000000"/>
          <w:lang w:val="ro-RO" w:eastAsia="ru-RU"/>
        </w:rPr>
        <w:t>pentru a le introduce în lista de variabile aşa cum este arătat în figura din dreapta. Se apasă „OK”.</w:t>
      </w:r>
    </w:p>
    <w:p w:rsidR="00126AD2" w:rsidRDefault="00126AD2" w:rsidP="00126AD2">
      <w:pPr>
        <w:autoSpaceDE w:val="0"/>
        <w:autoSpaceDN w:val="0"/>
        <w:adjustRightInd w:val="0"/>
        <w:ind w:firstLine="426"/>
        <w:rPr>
          <w:lang w:val="ro-RO"/>
        </w:rPr>
      </w:pPr>
    </w:p>
    <w:p w:rsidR="00126AD2" w:rsidRDefault="00126AD2" w:rsidP="00126AD2">
      <w:pPr>
        <w:ind w:firstLine="0"/>
        <w:jc w:val="center"/>
        <w:rPr>
          <w:b/>
          <w:lang w:val="ro-RO"/>
        </w:rPr>
      </w:pPr>
      <w:r>
        <w:rPr>
          <w:b/>
          <w:noProof/>
          <w:lang w:eastAsia="ru-RU"/>
        </w:rPr>
        <w:drawing>
          <wp:inline distT="0" distB="0" distL="0" distR="0">
            <wp:extent cx="2971800" cy="2162175"/>
            <wp:effectExtent l="19050" t="0" r="0" b="0"/>
            <wp:docPr id="3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8" cstate="print"/>
                    <a:srcRect/>
                    <a:stretch>
                      <a:fillRect/>
                    </a:stretch>
                  </pic:blipFill>
                  <pic:spPr bwMode="auto">
                    <a:xfrm>
                      <a:off x="0" y="0"/>
                      <a:ext cx="2971800" cy="2162175"/>
                    </a:xfrm>
                    <a:prstGeom prst="rect">
                      <a:avLst/>
                    </a:prstGeom>
                    <a:noFill/>
                    <a:ln w="9525">
                      <a:noFill/>
                      <a:miter lim="800000"/>
                      <a:headEnd/>
                      <a:tailEnd/>
                    </a:ln>
                  </pic:spPr>
                </pic:pic>
              </a:graphicData>
            </a:graphic>
          </wp:inline>
        </w:drawing>
      </w:r>
    </w:p>
    <w:p w:rsidR="00126AD2" w:rsidRDefault="00126AD2" w:rsidP="00126AD2">
      <w:pPr>
        <w:ind w:left="1080" w:hanging="513"/>
        <w:rPr>
          <w:b/>
          <w:lang w:val="it-IT"/>
        </w:rPr>
      </w:pPr>
    </w:p>
    <w:p w:rsidR="00126AD2" w:rsidRPr="00046203" w:rsidRDefault="00126AD2" w:rsidP="00126AD2">
      <w:pPr>
        <w:autoSpaceDE w:val="0"/>
        <w:autoSpaceDN w:val="0"/>
        <w:adjustRightInd w:val="0"/>
        <w:ind w:firstLine="540"/>
        <w:rPr>
          <w:rFonts w:eastAsia="Times New Roman"/>
          <w:b/>
          <w:bCs/>
          <w:lang w:val="it-IT" w:eastAsia="ru-RU"/>
        </w:rPr>
      </w:pPr>
      <w:r>
        <w:rPr>
          <w:rFonts w:eastAsia="Times New Roman"/>
          <w:b/>
          <w:bCs/>
          <w:lang w:val="it-IT" w:eastAsia="ru-RU"/>
        </w:rPr>
        <w:t>Interpretarea output-ului</w:t>
      </w:r>
    </w:p>
    <w:p w:rsidR="00126AD2" w:rsidRDefault="00126AD2" w:rsidP="00126AD2">
      <w:pPr>
        <w:autoSpaceDE w:val="0"/>
        <w:autoSpaceDN w:val="0"/>
        <w:adjustRightInd w:val="0"/>
        <w:ind w:firstLine="426"/>
        <w:rPr>
          <w:rFonts w:eastAsia="Times New Roman"/>
          <w:lang w:val="it-IT" w:eastAsia="ru-RU"/>
        </w:rPr>
      </w:pPr>
      <w:r>
        <w:rPr>
          <w:rFonts w:eastAsia="Times New Roman"/>
          <w:lang w:val="it-IT" w:eastAsia="ru-RU"/>
        </w:rPr>
        <w:lastRenderedPageBreak/>
        <w:t>Corelaţia dintre „matematică” şi „muzică” este – 0,845. La un test de semnificaţie two-tailed, la nivelul de probabilitate 0,01 sau mai mic, corelaţia este statistic semnificativă. Numărul cazurilor pe care este bazată corelaţia este 10. Informaţia apare şi în această celulă.</w:t>
      </w:r>
    </w:p>
    <w:p w:rsidR="00126AD2" w:rsidRDefault="00126AD2" w:rsidP="00126AD2">
      <w:pPr>
        <w:autoSpaceDE w:val="0"/>
        <w:autoSpaceDN w:val="0"/>
        <w:adjustRightInd w:val="0"/>
        <w:ind w:firstLine="426"/>
        <w:rPr>
          <w:rFonts w:eastAsia="Times New Roman"/>
          <w:sz w:val="20"/>
          <w:szCs w:val="20"/>
          <w:lang w:val="it-IT" w:eastAsia="ru-RU"/>
        </w:rPr>
      </w:pPr>
      <w:r>
        <w:rPr>
          <w:rFonts w:eastAsia="Times New Roman"/>
          <w:sz w:val="20"/>
          <w:szCs w:val="20"/>
          <w:lang w:val="it-IT" w:eastAsia="ru-RU"/>
        </w:rPr>
        <w:t>*One tailed – dacă distribuţia este unidirecţională.</w:t>
      </w:r>
    </w:p>
    <w:p w:rsidR="00126AD2" w:rsidRDefault="00126AD2" w:rsidP="00126AD2">
      <w:pPr>
        <w:ind w:firstLine="426"/>
        <w:rPr>
          <w:b/>
          <w:sz w:val="20"/>
          <w:szCs w:val="20"/>
          <w:lang w:val="it-IT"/>
        </w:rPr>
      </w:pPr>
      <w:r>
        <w:rPr>
          <w:rFonts w:eastAsia="Times New Roman"/>
          <w:sz w:val="20"/>
          <w:szCs w:val="20"/>
          <w:lang w:val="it-IT" w:eastAsia="ru-RU"/>
        </w:rPr>
        <w:t xml:space="preserve">  Two-tailed – dacă distribuţia este bidirecţională.</w:t>
      </w:r>
    </w:p>
    <w:p w:rsidR="00126AD2" w:rsidRDefault="00126AD2" w:rsidP="00126AD2">
      <w:pPr>
        <w:ind w:left="1080" w:hanging="1080"/>
        <w:jc w:val="center"/>
        <w:rPr>
          <w:b/>
          <w:lang w:val="it-IT"/>
        </w:rPr>
      </w:pPr>
      <w:r>
        <w:rPr>
          <w:b/>
          <w:noProof/>
          <w:lang w:eastAsia="ru-RU"/>
        </w:rPr>
        <w:drawing>
          <wp:inline distT="0" distB="0" distL="0" distR="0">
            <wp:extent cx="3067050" cy="1524000"/>
            <wp:effectExtent l="19050" t="0" r="0" b="0"/>
            <wp:docPr id="38"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 cstate="print"/>
                    <a:srcRect/>
                    <a:stretch>
                      <a:fillRect/>
                    </a:stretch>
                  </pic:blipFill>
                  <pic:spPr bwMode="auto">
                    <a:xfrm>
                      <a:off x="0" y="0"/>
                      <a:ext cx="3067050" cy="1524000"/>
                    </a:xfrm>
                    <a:prstGeom prst="rect">
                      <a:avLst/>
                    </a:prstGeom>
                    <a:noFill/>
                    <a:ln w="9525">
                      <a:noFill/>
                      <a:miter lim="800000"/>
                      <a:headEnd/>
                      <a:tailEnd/>
                    </a:ln>
                  </pic:spPr>
                </pic:pic>
              </a:graphicData>
            </a:graphic>
          </wp:inline>
        </w:drawing>
      </w:r>
    </w:p>
    <w:p w:rsidR="00126AD2" w:rsidRDefault="00126AD2" w:rsidP="00126AD2">
      <w:pPr>
        <w:numPr>
          <w:ilvl w:val="0"/>
          <w:numId w:val="1"/>
        </w:numPr>
        <w:autoSpaceDE w:val="0"/>
        <w:autoSpaceDN w:val="0"/>
        <w:adjustRightInd w:val="0"/>
        <w:rPr>
          <w:rFonts w:eastAsia="OpenSymbol"/>
          <w:lang w:val="it-IT" w:eastAsia="ru-RU"/>
        </w:rPr>
      </w:pPr>
      <w:r>
        <w:rPr>
          <w:rFonts w:eastAsia="OpenSymbol"/>
          <w:lang w:val="it-IT" w:eastAsia="ru-RU"/>
        </w:rPr>
        <w:t>Corelaţia dintre abilităţile muzicale şi cele matematice este – 0,845.</w:t>
      </w:r>
    </w:p>
    <w:p w:rsidR="00126AD2" w:rsidRDefault="00126AD2" w:rsidP="00126AD2">
      <w:pPr>
        <w:autoSpaceDE w:val="0"/>
        <w:autoSpaceDN w:val="0"/>
        <w:adjustRightInd w:val="0"/>
        <w:rPr>
          <w:rFonts w:eastAsia="OpenSymbol"/>
          <w:sz w:val="20"/>
          <w:szCs w:val="20"/>
          <w:lang w:val="it-IT" w:eastAsia="ru-RU"/>
        </w:rPr>
      </w:pPr>
      <w:r>
        <w:rPr>
          <w:rFonts w:eastAsia="OpenSymbol"/>
          <w:sz w:val="20"/>
          <w:szCs w:val="20"/>
          <w:lang w:val="it-IT" w:eastAsia="ru-RU"/>
        </w:rPr>
        <w:t>* Se obişnuieşte să se rotunjească corelaţia cu două zecimale, deci aceasta va deveni 0,90, acesta fiind un rezultat mult mai precis pentru majoritatea măsurătorilor psihologice.</w:t>
      </w:r>
    </w:p>
    <w:p w:rsidR="00126AD2" w:rsidRDefault="00126AD2" w:rsidP="00126AD2">
      <w:pPr>
        <w:numPr>
          <w:ilvl w:val="0"/>
          <w:numId w:val="1"/>
        </w:numPr>
        <w:autoSpaceDE w:val="0"/>
        <w:autoSpaceDN w:val="0"/>
        <w:adjustRightInd w:val="0"/>
        <w:rPr>
          <w:rFonts w:eastAsia="OpenSymbol"/>
          <w:lang w:val="pt-BR" w:eastAsia="ru-RU"/>
        </w:rPr>
      </w:pPr>
      <w:r>
        <w:rPr>
          <w:rFonts w:eastAsia="OpenSymbol"/>
          <w:lang w:val="pt-BR" w:eastAsia="ru-RU"/>
        </w:rPr>
        <w:t>Nivelul de semnificaţie exact, cu trei zecimale, este 0,002. Înseamnă că nivelul de semnificaţie este mai mic decît 0,01.</w:t>
      </w:r>
    </w:p>
    <w:p w:rsidR="00126AD2" w:rsidRDefault="00126AD2" w:rsidP="00126AD2">
      <w:pPr>
        <w:numPr>
          <w:ilvl w:val="0"/>
          <w:numId w:val="1"/>
        </w:numPr>
        <w:autoSpaceDE w:val="0"/>
        <w:autoSpaceDN w:val="0"/>
        <w:adjustRightInd w:val="0"/>
        <w:rPr>
          <w:rFonts w:eastAsia="OpenSymbol"/>
          <w:lang w:val="pt-BR" w:eastAsia="ru-RU"/>
        </w:rPr>
      </w:pPr>
      <w:r>
        <w:rPr>
          <w:rFonts w:eastAsia="OpenSymbol"/>
          <w:lang w:val="pt-BR" w:eastAsia="ru-RU"/>
        </w:rPr>
        <w:t>Interpretarea psihologică va fi: „Există o relaţie negativă semnificativă între abilităţile muzicale şi cele matematice, ceea ce înseamnă că, copiii cu nivel ridicat al abilităţilor muzicale au un nivel scăzut al abilităţii matematice”.</w:t>
      </w:r>
    </w:p>
    <w:p w:rsidR="00126AD2" w:rsidRDefault="00126AD2" w:rsidP="00126AD2">
      <w:pPr>
        <w:autoSpaceDE w:val="0"/>
        <w:autoSpaceDN w:val="0"/>
        <w:adjustRightInd w:val="0"/>
        <w:ind w:firstLine="426"/>
        <w:rPr>
          <w:rFonts w:eastAsia="TimesNewRomanPSMT"/>
          <w:sz w:val="20"/>
          <w:szCs w:val="20"/>
          <w:lang w:val="it-IT" w:eastAsia="ru-RU"/>
        </w:rPr>
      </w:pPr>
      <w:r>
        <w:rPr>
          <w:rFonts w:eastAsia="TimesNewRomanPSMT"/>
          <w:sz w:val="20"/>
          <w:szCs w:val="20"/>
          <w:lang w:val="it-IT" w:eastAsia="ru-RU"/>
        </w:rPr>
        <w:t>Un coeficient de corelaţie poate fi calculat corect numai cînd datele ambelor variabile se referă la eşantioane şi fiecare este ales independent.</w:t>
      </w:r>
    </w:p>
    <w:p w:rsidR="00126AD2" w:rsidRDefault="00126AD2" w:rsidP="00126AD2">
      <w:pPr>
        <w:autoSpaceDE w:val="0"/>
        <w:autoSpaceDN w:val="0"/>
        <w:adjustRightInd w:val="0"/>
        <w:ind w:firstLine="426"/>
        <w:rPr>
          <w:rFonts w:eastAsia="TimesNewRomanPSMT"/>
          <w:sz w:val="20"/>
          <w:szCs w:val="20"/>
          <w:lang w:val="it-IT" w:eastAsia="ru-RU"/>
        </w:rPr>
      </w:pPr>
      <w:r>
        <w:rPr>
          <w:rFonts w:eastAsia="TimesNewRomanPSMT"/>
          <w:sz w:val="20"/>
          <w:szCs w:val="20"/>
          <w:lang w:val="it-IT" w:eastAsia="ru-RU"/>
        </w:rPr>
        <w:t>Un coeficient de corelaţie poate fi apropiat de a</w:t>
      </w:r>
      <w:r w:rsidRPr="00574E4E">
        <w:rPr>
          <w:rFonts w:eastAsia="TimesNewRomanPSMT"/>
          <w:sz w:val="20"/>
          <w:szCs w:val="20"/>
          <w:lang w:val="it-IT" w:eastAsia="ru-RU"/>
        </w:rPr>
        <w:t>1tul,</w:t>
      </w:r>
      <w:r>
        <w:rPr>
          <w:rFonts w:eastAsia="TimesNewRomanPSMT"/>
          <w:sz w:val="20"/>
          <w:szCs w:val="20"/>
          <w:lang w:val="it-IT" w:eastAsia="ru-RU"/>
        </w:rPr>
        <w:t xml:space="preserve"> deci ne va indica o corelaţie puternică, dar ea poate fi nesemnificativă din cauza volumului mic al eşantionului studiat.</w:t>
      </w:r>
    </w:p>
    <w:p w:rsidR="00126AD2" w:rsidRDefault="00126AD2" w:rsidP="00126AD2">
      <w:pPr>
        <w:tabs>
          <w:tab w:val="left" w:pos="1620"/>
        </w:tabs>
        <w:autoSpaceDE w:val="0"/>
        <w:autoSpaceDN w:val="0"/>
        <w:adjustRightInd w:val="0"/>
        <w:ind w:firstLine="426"/>
        <w:rPr>
          <w:rFonts w:eastAsia="TimesNewRomanPSMT"/>
          <w:sz w:val="20"/>
          <w:szCs w:val="20"/>
          <w:lang w:val="it-IT" w:eastAsia="ru-RU"/>
        </w:rPr>
      </w:pPr>
      <w:r>
        <w:rPr>
          <w:rFonts w:eastAsia="TimesNewRomanPSMT"/>
          <w:sz w:val="20"/>
          <w:szCs w:val="20"/>
          <w:lang w:val="it-IT" w:eastAsia="ru-RU"/>
        </w:rPr>
        <w:t>Corelaţia nu trebuie identificată cu cauzalitatea, în sensul că observaţiile a 2 variabile se pot corela foarte bine fară să avem motive logice şi ştiintifice că una dintre variabile poate fi cauza celeilalte.</w:t>
      </w:r>
    </w:p>
    <w:p w:rsidR="00126AD2" w:rsidRPr="00DA4CFD" w:rsidRDefault="00126AD2" w:rsidP="00126AD2">
      <w:pPr>
        <w:ind w:firstLine="426"/>
        <w:rPr>
          <w:b/>
          <w:i/>
          <w:lang w:val="ro-RO"/>
        </w:rPr>
      </w:pPr>
      <w:r>
        <w:rPr>
          <w:b/>
          <w:lang w:val="ro-RO"/>
        </w:rPr>
        <w:t xml:space="preserve">Corelaţia </w:t>
      </w:r>
      <w:r w:rsidRPr="00DA4CFD">
        <w:rPr>
          <w:b/>
          <w:i/>
          <w:lang w:val="ro-RO"/>
        </w:rPr>
        <w:t>Spearman</w:t>
      </w:r>
    </w:p>
    <w:p w:rsidR="00126AD2" w:rsidRDefault="00126AD2" w:rsidP="00126AD2">
      <w:pPr>
        <w:autoSpaceDE w:val="0"/>
        <w:autoSpaceDN w:val="0"/>
        <w:adjustRightInd w:val="0"/>
        <w:ind w:firstLine="426"/>
        <w:rPr>
          <w:rFonts w:eastAsia="TimesNewRomanPSMT"/>
          <w:lang w:val="pt-BR" w:eastAsia="ru-RU"/>
        </w:rPr>
      </w:pPr>
      <w:r>
        <w:rPr>
          <w:rFonts w:eastAsia="Times New Roman"/>
          <w:b/>
          <w:lang w:val="it-IT" w:eastAsia="ru-RU"/>
        </w:rPr>
        <w:t>Pasul 1:</w:t>
      </w:r>
      <w:r>
        <w:rPr>
          <w:rFonts w:eastAsia="Times New Roman"/>
          <w:lang w:val="it-IT" w:eastAsia="ru-RU"/>
        </w:rPr>
        <w:t xml:space="preserve"> </w:t>
      </w:r>
      <w:r>
        <w:rPr>
          <w:rFonts w:eastAsia="TimesNewRomanPSMT"/>
          <w:lang w:val="it-IT" w:eastAsia="ru-RU"/>
        </w:rPr>
        <w:t xml:space="preserve">Identic corelaţiei Pearson se selectează „Analyze”, „Correlate”, „Bivariate” şi variabilele care se doresc pentru corelaţie. </w:t>
      </w:r>
      <w:r>
        <w:rPr>
          <w:rFonts w:eastAsia="TimesNewRomanPSMT"/>
          <w:lang w:val="pt-BR" w:eastAsia="ru-RU"/>
        </w:rPr>
        <w:t>Se selectează „Spearman” şi se</w:t>
      </w:r>
      <w:r>
        <w:rPr>
          <w:rFonts w:eastAsia="TimesNewRomanPSMT"/>
          <w:lang w:val="ro-RO" w:eastAsia="ru-RU"/>
        </w:rPr>
        <w:t xml:space="preserve"> </w:t>
      </w:r>
      <w:r>
        <w:rPr>
          <w:rFonts w:eastAsia="TimesNewRomanPSMT"/>
          <w:lang w:val="pt-BR" w:eastAsia="ru-RU"/>
        </w:rPr>
        <w:t>deselectează „Pearson” (dacă nu se doreşte ca şi corelaţie). Se apasă „OK”.</w:t>
      </w:r>
    </w:p>
    <w:p w:rsidR="00126AD2" w:rsidRDefault="00126AD2" w:rsidP="00126AD2">
      <w:pPr>
        <w:autoSpaceDE w:val="0"/>
        <w:autoSpaceDN w:val="0"/>
        <w:adjustRightInd w:val="0"/>
        <w:ind w:firstLine="426"/>
        <w:rPr>
          <w:b/>
          <w:lang w:val="pt-BR"/>
        </w:rPr>
      </w:pPr>
    </w:p>
    <w:p w:rsidR="00126AD2" w:rsidRDefault="00126AD2" w:rsidP="00126AD2">
      <w:pPr>
        <w:ind w:left="1080" w:hanging="1080"/>
        <w:jc w:val="center"/>
        <w:rPr>
          <w:b/>
          <w:lang w:val="pt-BR"/>
        </w:rPr>
      </w:pPr>
      <w:r>
        <w:rPr>
          <w:b/>
          <w:noProof/>
          <w:lang w:eastAsia="ru-RU"/>
        </w:rPr>
        <w:drawing>
          <wp:inline distT="0" distB="0" distL="0" distR="0">
            <wp:extent cx="3067050" cy="2238375"/>
            <wp:effectExtent l="19050" t="0" r="0" b="0"/>
            <wp:docPr id="3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0" cstate="print"/>
                    <a:srcRect/>
                    <a:stretch>
                      <a:fillRect/>
                    </a:stretch>
                  </pic:blipFill>
                  <pic:spPr bwMode="auto">
                    <a:xfrm>
                      <a:off x="0" y="0"/>
                      <a:ext cx="3067050" cy="2238375"/>
                    </a:xfrm>
                    <a:prstGeom prst="rect">
                      <a:avLst/>
                    </a:prstGeom>
                    <a:noFill/>
                    <a:ln w="9525">
                      <a:noFill/>
                      <a:miter lim="800000"/>
                      <a:headEnd/>
                      <a:tailEnd/>
                    </a:ln>
                  </pic:spPr>
                </pic:pic>
              </a:graphicData>
            </a:graphic>
          </wp:inline>
        </w:drawing>
      </w:r>
    </w:p>
    <w:p w:rsidR="00126AD2" w:rsidRDefault="00126AD2" w:rsidP="00126AD2">
      <w:pPr>
        <w:ind w:left="1080" w:hanging="513"/>
        <w:rPr>
          <w:b/>
          <w:lang w:val="pt-BR"/>
        </w:rPr>
      </w:pPr>
    </w:p>
    <w:p w:rsidR="00126AD2" w:rsidRDefault="00126AD2" w:rsidP="00126AD2">
      <w:pPr>
        <w:autoSpaceDE w:val="0"/>
        <w:autoSpaceDN w:val="0"/>
        <w:adjustRightInd w:val="0"/>
        <w:ind w:firstLine="426"/>
        <w:rPr>
          <w:rFonts w:ascii="TimesNewRomanPS-BoldMT" w:eastAsia="Times New Roman" w:hAnsi="TimesNewRomanPS-BoldMT" w:cs="TimesNewRomanPS-BoldMT"/>
          <w:b/>
          <w:bCs/>
          <w:lang w:val="pt-BR" w:eastAsia="ru-RU"/>
        </w:rPr>
      </w:pPr>
      <w:r>
        <w:rPr>
          <w:rFonts w:ascii="TimesNewRomanPS-BoldMT" w:eastAsia="Times New Roman" w:hAnsi="TimesNewRomanPS-BoldMT" w:cs="TimesNewRomanPS-BoldMT"/>
          <w:b/>
          <w:bCs/>
          <w:lang w:val="pt-BR" w:eastAsia="ru-RU"/>
        </w:rPr>
        <w:t>Interpretarea output-ului</w:t>
      </w:r>
    </w:p>
    <w:p w:rsidR="00126AD2" w:rsidRDefault="00126AD2" w:rsidP="00126AD2">
      <w:pPr>
        <w:autoSpaceDE w:val="0"/>
        <w:autoSpaceDN w:val="0"/>
        <w:adjustRightInd w:val="0"/>
        <w:ind w:firstLine="426"/>
        <w:rPr>
          <w:rFonts w:eastAsia="TimesNewRomanPSMT"/>
          <w:lang w:val="pt-BR" w:eastAsia="ru-RU"/>
        </w:rPr>
      </w:pPr>
      <w:r w:rsidRPr="00CA384A">
        <w:rPr>
          <w:rFonts w:eastAsia="TimesNewRomanPSMT"/>
          <w:spacing w:val="4"/>
          <w:lang w:val="pt-BR" w:eastAsia="ru-RU"/>
        </w:rPr>
        <w:t xml:space="preserve">Coeficientul de corelaţie Spearman. Numărul cazurilor este 10. </w:t>
      </w:r>
      <w:r>
        <w:rPr>
          <w:rFonts w:eastAsia="TimesNewRomanPSMT"/>
          <w:lang w:val="pt-BR" w:eastAsia="ru-RU"/>
        </w:rPr>
        <w:t>Între muzică şi matematică este – 0,842. Nivelul de semnificaţie este 0,001 sau mai mic, deci corelaţia este statistic semnificativă.</w:t>
      </w:r>
    </w:p>
    <w:p w:rsidR="00126AD2" w:rsidRDefault="00126AD2" w:rsidP="00126AD2">
      <w:pPr>
        <w:ind w:left="540" w:hanging="540"/>
        <w:jc w:val="center"/>
        <w:rPr>
          <w:b/>
          <w:lang w:val="pt-BR"/>
        </w:rPr>
      </w:pPr>
      <w:r>
        <w:rPr>
          <w:b/>
          <w:noProof/>
          <w:lang w:eastAsia="ru-RU"/>
        </w:rPr>
        <w:lastRenderedPageBreak/>
        <w:drawing>
          <wp:inline distT="0" distB="0" distL="0" distR="0">
            <wp:extent cx="3409950" cy="1314450"/>
            <wp:effectExtent l="19050" t="0" r="0" b="0"/>
            <wp:docPr id="4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1" cstate="print"/>
                    <a:srcRect/>
                    <a:stretch>
                      <a:fillRect/>
                    </a:stretch>
                  </pic:blipFill>
                  <pic:spPr bwMode="auto">
                    <a:xfrm>
                      <a:off x="0" y="0"/>
                      <a:ext cx="3409950" cy="1314450"/>
                    </a:xfrm>
                    <a:prstGeom prst="rect">
                      <a:avLst/>
                    </a:prstGeom>
                    <a:noFill/>
                    <a:ln w="9525">
                      <a:noFill/>
                      <a:miter lim="800000"/>
                      <a:headEnd/>
                      <a:tailEnd/>
                    </a:ln>
                  </pic:spPr>
                </pic:pic>
              </a:graphicData>
            </a:graphic>
          </wp:inline>
        </w:drawing>
      </w:r>
    </w:p>
    <w:p w:rsidR="00126AD2" w:rsidRDefault="00126AD2" w:rsidP="00126AD2">
      <w:pPr>
        <w:numPr>
          <w:ilvl w:val="0"/>
          <w:numId w:val="2"/>
        </w:numPr>
        <w:autoSpaceDE w:val="0"/>
        <w:autoSpaceDN w:val="0"/>
        <w:adjustRightInd w:val="0"/>
        <w:rPr>
          <w:rFonts w:eastAsia="TimesNewRomanPSMT"/>
          <w:lang w:val="pt-BR" w:eastAsia="ru-RU"/>
        </w:rPr>
      </w:pPr>
      <w:r>
        <w:rPr>
          <w:rFonts w:eastAsia="TimesNewRomanPSMT"/>
          <w:lang w:val="pt-BR" w:eastAsia="ru-RU"/>
        </w:rPr>
        <w:t>Corelaţia raportată cu două zecimale este – 0,84.</w:t>
      </w:r>
    </w:p>
    <w:p w:rsidR="00126AD2" w:rsidRDefault="00126AD2" w:rsidP="00126AD2">
      <w:pPr>
        <w:numPr>
          <w:ilvl w:val="0"/>
          <w:numId w:val="2"/>
        </w:numPr>
        <w:tabs>
          <w:tab w:val="clear" w:pos="785"/>
        </w:tabs>
        <w:autoSpaceDE w:val="0"/>
        <w:autoSpaceDN w:val="0"/>
        <w:adjustRightInd w:val="0"/>
        <w:ind w:left="0" w:firstLine="426"/>
        <w:rPr>
          <w:rFonts w:eastAsia="TimesNewRomanPSMT"/>
          <w:lang w:val="pt-BR" w:eastAsia="ru-RU"/>
        </w:rPr>
      </w:pPr>
      <w:r>
        <w:rPr>
          <w:rFonts w:eastAsia="TimesNewRomanPSMT"/>
          <w:lang w:val="pt-BR" w:eastAsia="ru-RU"/>
        </w:rPr>
        <w:t>Interpretarea psihologică va fi: „Există o corelaţie negativă semnificativă între abilităţile muzicale şi cele matematice, ceea ce semnifică faptul că, cei cu un nivel ridicat al abilităţii muzicale au abilităţi matematice scăzute şi viceversa”.</w:t>
      </w:r>
    </w:p>
    <w:p w:rsidR="00126AD2" w:rsidRDefault="00126AD2" w:rsidP="00126AD2">
      <w:pPr>
        <w:autoSpaceDE w:val="0"/>
        <w:autoSpaceDN w:val="0"/>
        <w:adjustRightInd w:val="0"/>
        <w:ind w:firstLine="540"/>
        <w:rPr>
          <w:rFonts w:eastAsia="TimesNewRomanPSMT"/>
          <w:lang w:val="pt-BR" w:eastAsia="ru-RU"/>
        </w:rPr>
      </w:pPr>
      <w:r>
        <w:rPr>
          <w:rFonts w:eastAsia="TimesNewRomanPSMT"/>
          <w:lang w:val="ro-RO" w:eastAsia="ru-RU"/>
        </w:rPr>
        <w:t xml:space="preserve">- </w:t>
      </w:r>
      <w:r>
        <w:rPr>
          <w:rFonts w:eastAsia="TimesNewRomanPSMT"/>
          <w:lang w:val="pt-BR" w:eastAsia="ru-RU"/>
        </w:rPr>
        <w:t>Coeficientul de corelatie al rangurilor (Spearman) testează gradul de corelare între 2 variabile calitative; este alternativa neparametrică a “coeficientului de corelaţie Pearson”.</w:t>
      </w:r>
    </w:p>
    <w:p w:rsidR="00126AD2" w:rsidRDefault="00126AD2" w:rsidP="00126AD2">
      <w:pPr>
        <w:autoSpaceDE w:val="0"/>
        <w:autoSpaceDN w:val="0"/>
        <w:adjustRightInd w:val="0"/>
        <w:ind w:firstLine="540"/>
        <w:rPr>
          <w:rFonts w:eastAsia="TimesNewRomanPSMT"/>
          <w:lang w:val="pt-BR" w:eastAsia="ru-RU"/>
        </w:rPr>
      </w:pPr>
      <w:r>
        <w:rPr>
          <w:rFonts w:eastAsia="TimesNewRomanPSMT"/>
          <w:lang w:val="ro-RO" w:eastAsia="ru-RU"/>
        </w:rPr>
        <w:t xml:space="preserve">- </w:t>
      </w:r>
      <w:r>
        <w:rPr>
          <w:rFonts w:eastAsia="TimesNewRomanPSMT"/>
          <w:lang w:val="it-IT" w:eastAsia="ru-RU"/>
        </w:rPr>
        <w:t xml:space="preserve">Acest coeficient variaza între -1 şi +1. </w:t>
      </w:r>
      <w:r>
        <w:rPr>
          <w:rFonts w:eastAsia="TimesNewRomanPSMT"/>
          <w:lang w:val="pt-BR" w:eastAsia="ru-RU"/>
        </w:rPr>
        <w:t>O valoare apropiată de +1, înseamna că suma patratelor diferenţelor este aproape nulă, deci avem clasamente identice.</w:t>
      </w:r>
    </w:p>
    <w:p w:rsidR="00126AD2" w:rsidRDefault="00126AD2" w:rsidP="00126AD2">
      <w:pPr>
        <w:autoSpaceDE w:val="0"/>
        <w:autoSpaceDN w:val="0"/>
        <w:adjustRightInd w:val="0"/>
        <w:ind w:firstLine="540"/>
        <w:rPr>
          <w:b/>
          <w:lang w:val="pt-BR"/>
        </w:rPr>
      </w:pPr>
      <w:r>
        <w:rPr>
          <w:rFonts w:eastAsia="TimesNewRomanPSMT"/>
          <w:lang w:val="pt-BR" w:eastAsia="ru-RU"/>
        </w:rPr>
        <w:t>- O valoare apropiată de 0, înseamnă necorelarea variabilelor, iar valoarea apropiată de -1 pune în evidenţă discordanţa maximă a variabilelor.</w:t>
      </w:r>
    </w:p>
    <w:sectPr w:rsidR="00126AD2" w:rsidSect="00D54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NimbusRomNo9L-Regu">
    <w:altName w:val="Times New Roman"/>
    <w:panose1 w:val="00000000000000000000"/>
    <w:charset w:val="EE"/>
    <w:family w:val="auto"/>
    <w:notTrueType/>
    <w:pitch w:val="default"/>
    <w:sig w:usb0="00000005" w:usb1="00000000" w:usb2="00000000" w:usb3="00000000" w:csb0="00000002" w:csb1="00000000"/>
  </w:font>
  <w:font w:name="OpenSymbol">
    <w:altName w:val="Arial Unicode MS"/>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3C2"/>
    <w:multiLevelType w:val="hybridMultilevel"/>
    <w:tmpl w:val="287EDCDA"/>
    <w:lvl w:ilvl="0" w:tplc="04190001">
      <w:start w:val="1"/>
      <w:numFmt w:val="bullet"/>
      <w:lvlText w:val=""/>
      <w:lvlJc w:val="left"/>
      <w:pPr>
        <w:tabs>
          <w:tab w:val="num" w:pos="888"/>
        </w:tabs>
        <w:ind w:left="88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1">
    <w:nsid w:val="22375ECF"/>
    <w:multiLevelType w:val="hybridMultilevel"/>
    <w:tmpl w:val="4ECEC992"/>
    <w:lvl w:ilvl="0" w:tplc="04190001">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2">
    <w:nsid w:val="34A976CE"/>
    <w:multiLevelType w:val="hybridMultilevel"/>
    <w:tmpl w:val="04D0E28E"/>
    <w:lvl w:ilvl="0" w:tplc="17F6A0D0">
      <w:numFmt w:val="bullet"/>
      <w:lvlText w:val="−"/>
      <w:lvlJc w:val="left"/>
      <w:pPr>
        <w:ind w:left="986" w:hanging="360"/>
      </w:pPr>
      <w:rPr>
        <w:rFonts w:ascii="Times New Roman" w:eastAsia="SimSun" w:hAnsi="Times New Roman" w:cs="Times New Roman"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3">
    <w:nsid w:val="58115434"/>
    <w:multiLevelType w:val="hybridMultilevel"/>
    <w:tmpl w:val="A82AC3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26AD2"/>
    <w:rsid w:val="00126AD2"/>
    <w:rsid w:val="0031705F"/>
    <w:rsid w:val="00797374"/>
    <w:rsid w:val="009A0733"/>
    <w:rsid w:val="00C46BD8"/>
    <w:rsid w:val="00D5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D2"/>
    <w:pPr>
      <w:spacing w:after="0" w:line="264" w:lineRule="auto"/>
      <w:ind w:firstLine="425"/>
      <w:jc w:val="both"/>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2020-10-15T11:34:00Z</dcterms:created>
  <dcterms:modified xsi:type="dcterms:W3CDTF">2020-10-15T17:22:00Z</dcterms:modified>
</cp:coreProperties>
</file>