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BD4D5" w14:textId="06F5841B" w:rsidR="00D821B9" w:rsidRPr="00D821B9" w:rsidRDefault="00D821B9" w:rsidP="00C8781B">
      <w:pPr>
        <w:spacing w:after="0" w:line="240" w:lineRule="auto"/>
        <w:rPr>
          <w:rFonts w:ascii="Times New Roman" w:eastAsia="Times New Roman" w:hAnsi="Times New Roman" w:cs="Times New Roman"/>
          <w:b/>
          <w:bCs/>
          <w:kern w:val="0"/>
          <w14:ligatures w14:val="none"/>
        </w:rPr>
      </w:pPr>
      <w:r w:rsidRPr="00D821B9">
        <w:rPr>
          <w:rFonts w:ascii="Times New Roman" w:eastAsia="Times New Roman" w:hAnsi="Times New Roman" w:cs="Times New Roman"/>
          <w:b/>
          <w:bCs/>
          <w:kern w:val="0"/>
          <w14:ligatures w14:val="none"/>
        </w:rPr>
        <w:t>Tema 11. Stilul personal de învățare</w:t>
      </w:r>
    </w:p>
    <w:p w14:paraId="1A03EAF6" w14:textId="77777777" w:rsidR="00D821B9" w:rsidRPr="001630B7" w:rsidRDefault="00D821B9" w:rsidP="00D821B9">
      <w:pPr>
        <w:spacing w:before="100" w:beforeAutospacing="1" w:after="100" w:afterAutospacing="1" w:line="240" w:lineRule="auto"/>
        <w:rPr>
          <w:rFonts w:ascii="Times New Roman" w:eastAsia="Times New Roman" w:hAnsi="Times New Roman"/>
          <w:i/>
          <w:iCs/>
        </w:rPr>
      </w:pPr>
      <w:r w:rsidRPr="00FC0ECA">
        <w:rPr>
          <w:rFonts w:ascii="Times New Roman" w:eastAsia="Times New Roman" w:hAnsi="Times New Roman"/>
          <w:i/>
          <w:iCs/>
        </w:rPr>
        <w:t>Abilități ale studentului:</w:t>
      </w:r>
    </w:p>
    <w:p w14:paraId="492A7F44" w14:textId="76EBA635" w:rsidR="00D821B9" w:rsidRPr="00D821B9" w:rsidRDefault="00D821B9" w:rsidP="00E04B2E">
      <w:pPr>
        <w:pStyle w:val="ListParagraph1"/>
        <w:numPr>
          <w:ilvl w:val="0"/>
          <w:numId w:val="10"/>
        </w:numPr>
        <w:spacing w:after="0" w:line="360" w:lineRule="auto"/>
        <w:ind w:left="319" w:hanging="142"/>
        <w:rPr>
          <w:rFonts w:ascii="Times New Roman" w:hAnsi="Times New Roman"/>
          <w:i/>
          <w:iCs/>
          <w:noProof/>
          <w:lang w:val="ro-MD"/>
        </w:rPr>
      </w:pPr>
      <w:r w:rsidRPr="00D821B9">
        <w:rPr>
          <w:rFonts w:ascii="Times New Roman" w:hAnsi="Times New Roman"/>
          <w:i/>
          <w:iCs/>
          <w:noProof/>
          <w:lang w:val="ro-MD"/>
        </w:rPr>
        <w:t>cunoaște cadrul de operaționalizare a stilului de învățare</w:t>
      </w:r>
      <w:r w:rsidRPr="00D821B9">
        <w:rPr>
          <w:rFonts w:ascii="Times New Roman" w:hAnsi="Times New Roman"/>
          <w:i/>
          <w:iCs/>
          <w:noProof/>
          <w:lang w:val="pt-BR"/>
        </w:rPr>
        <w:t>;</w:t>
      </w:r>
    </w:p>
    <w:p w14:paraId="7E612C57" w14:textId="3DFC954E" w:rsidR="00D821B9" w:rsidRPr="00D821B9" w:rsidRDefault="00D821B9" w:rsidP="00E04B2E">
      <w:pPr>
        <w:pStyle w:val="ListParagraph1"/>
        <w:numPr>
          <w:ilvl w:val="0"/>
          <w:numId w:val="10"/>
        </w:numPr>
        <w:spacing w:after="0" w:line="360" w:lineRule="auto"/>
        <w:ind w:left="319" w:hanging="142"/>
        <w:rPr>
          <w:rFonts w:ascii="Times New Roman" w:hAnsi="Times New Roman"/>
          <w:i/>
          <w:iCs/>
          <w:noProof/>
          <w:lang w:val="ro-MD"/>
        </w:rPr>
      </w:pPr>
      <w:r w:rsidRPr="00D821B9">
        <w:rPr>
          <w:rFonts w:ascii="Times New Roman" w:hAnsi="Times New Roman"/>
          <w:i/>
          <w:iCs/>
          <w:noProof/>
          <w:lang w:val="ro-MD"/>
        </w:rPr>
        <w:t>diferențiază variate stiluri de învățare</w:t>
      </w:r>
      <w:r>
        <w:rPr>
          <w:rFonts w:ascii="Times New Roman" w:hAnsi="Times New Roman"/>
          <w:i/>
          <w:iCs/>
          <w:noProof/>
          <w:lang w:val="ro-MD"/>
        </w:rPr>
        <w:t>;</w:t>
      </w:r>
    </w:p>
    <w:p w14:paraId="70EF013C" w14:textId="68A9050F" w:rsidR="00D821B9" w:rsidRPr="00D821B9" w:rsidRDefault="00D821B9" w:rsidP="00E04B2E">
      <w:pPr>
        <w:pStyle w:val="ListParagraph1"/>
        <w:numPr>
          <w:ilvl w:val="0"/>
          <w:numId w:val="10"/>
        </w:numPr>
        <w:spacing w:after="0" w:line="360" w:lineRule="auto"/>
        <w:ind w:left="319" w:hanging="142"/>
        <w:rPr>
          <w:rFonts w:ascii="Times New Roman" w:hAnsi="Times New Roman"/>
          <w:i/>
          <w:iCs/>
          <w:noProof/>
          <w:lang w:val="ro-MD"/>
        </w:rPr>
      </w:pPr>
      <w:r w:rsidRPr="00D821B9">
        <w:rPr>
          <w:rFonts w:ascii="Times New Roman" w:hAnsi="Times New Roman"/>
          <w:i/>
          <w:iCs/>
          <w:noProof/>
          <w:lang w:val="ro-MD"/>
        </w:rPr>
        <w:t>explică impactul stilului de învățare asupra învățării academice</w:t>
      </w:r>
      <w:r>
        <w:rPr>
          <w:rFonts w:ascii="Times New Roman" w:hAnsi="Times New Roman"/>
          <w:i/>
          <w:iCs/>
          <w:noProof/>
          <w:lang w:val="ro-MD"/>
        </w:rPr>
        <w:t>;</w:t>
      </w:r>
    </w:p>
    <w:p w14:paraId="28271336" w14:textId="61CEDB17" w:rsidR="00D821B9" w:rsidRPr="00D821B9" w:rsidRDefault="00D821B9" w:rsidP="00E04B2E">
      <w:pPr>
        <w:pStyle w:val="ListParagraph1"/>
        <w:numPr>
          <w:ilvl w:val="0"/>
          <w:numId w:val="10"/>
        </w:numPr>
        <w:spacing w:after="0" w:line="360" w:lineRule="auto"/>
        <w:ind w:left="319" w:hanging="142"/>
        <w:rPr>
          <w:rFonts w:ascii="Times New Roman" w:hAnsi="Times New Roman"/>
          <w:i/>
          <w:iCs/>
          <w:noProof/>
          <w:lang w:val="ro-MD"/>
        </w:rPr>
      </w:pPr>
      <w:r w:rsidRPr="00D821B9">
        <w:rPr>
          <w:rFonts w:ascii="Times New Roman" w:hAnsi="Times New Roman"/>
          <w:i/>
          <w:iCs/>
          <w:noProof/>
          <w:lang w:val="ro-MD"/>
        </w:rPr>
        <w:t>identifică propriul stil de învățare</w:t>
      </w:r>
      <w:r>
        <w:rPr>
          <w:rFonts w:ascii="Times New Roman" w:hAnsi="Times New Roman"/>
          <w:i/>
          <w:iCs/>
          <w:noProof/>
          <w:lang w:val="ro-MD"/>
        </w:rPr>
        <w:t>;</w:t>
      </w:r>
    </w:p>
    <w:p w14:paraId="20956389" w14:textId="12B0EAA9" w:rsidR="00D821B9" w:rsidRPr="00627C7B" w:rsidRDefault="00D821B9" w:rsidP="00E04B2E">
      <w:pPr>
        <w:pStyle w:val="ListParagraph1"/>
        <w:numPr>
          <w:ilvl w:val="0"/>
          <w:numId w:val="10"/>
        </w:numPr>
        <w:spacing w:after="0" w:line="360" w:lineRule="auto"/>
        <w:ind w:left="319" w:hanging="142"/>
        <w:rPr>
          <w:rFonts w:ascii="Times New Roman" w:hAnsi="Times New Roman"/>
          <w:i/>
          <w:iCs/>
          <w:noProof/>
          <w:lang w:val="ro-MD"/>
        </w:rPr>
      </w:pPr>
      <w:r w:rsidRPr="00D821B9">
        <w:rPr>
          <w:rFonts w:ascii="Times New Roman" w:hAnsi="Times New Roman"/>
          <w:i/>
          <w:iCs/>
          <w:noProof/>
        </w:rPr>
        <w:t>selectează și aplică în propria învățare strategii adecvate stilului personal.</w:t>
      </w:r>
    </w:p>
    <w:p w14:paraId="123A4DDE" w14:textId="77777777" w:rsidR="00627C7B" w:rsidRPr="00D821B9" w:rsidRDefault="00627C7B" w:rsidP="00627C7B">
      <w:pPr>
        <w:pStyle w:val="ListParagraph1"/>
        <w:spacing w:after="0"/>
        <w:ind w:left="319"/>
        <w:rPr>
          <w:rFonts w:ascii="Times New Roman" w:hAnsi="Times New Roman"/>
          <w:i/>
          <w:iCs/>
          <w:noProof/>
          <w:lang w:val="ro-MD"/>
        </w:rPr>
      </w:pPr>
    </w:p>
    <w:p w14:paraId="318D5073" w14:textId="77777777" w:rsidR="00627C7B" w:rsidRPr="00547D5B" w:rsidRDefault="00627C7B" w:rsidP="00627C7B">
      <w:pPr>
        <w:pStyle w:val="NormalWeb"/>
        <w:spacing w:before="0" w:beforeAutospacing="0" w:after="0" w:afterAutospacing="0" w:line="360" w:lineRule="auto"/>
        <w:ind w:firstLine="319"/>
        <w:jc w:val="both"/>
        <w:rPr>
          <w:i/>
          <w:iCs/>
        </w:rPr>
      </w:pPr>
      <w:r w:rsidRPr="00627C7B">
        <w:rPr>
          <w:rStyle w:val="Strong"/>
          <w:rFonts w:eastAsiaTheme="majorEastAsia"/>
          <w:b w:val="0"/>
          <w:bCs w:val="0"/>
          <w:i/>
          <w:iCs/>
        </w:rPr>
        <w:t>Stilul de învățare</w:t>
      </w:r>
      <w:r w:rsidRPr="00627C7B">
        <w:t xml:space="preserve"> reprezintă </w:t>
      </w:r>
      <w:r w:rsidRPr="00627C7B">
        <w:rPr>
          <w:rStyle w:val="Strong"/>
          <w:rFonts w:eastAsiaTheme="majorEastAsia"/>
          <w:b w:val="0"/>
          <w:bCs w:val="0"/>
        </w:rPr>
        <w:t>modalitatea unică și relativ stabilă prin care fiecare persoană percepe, procesează, reține și răspunde la informațiile primite în contextul învățării</w:t>
      </w:r>
      <w:r w:rsidRPr="00627C7B">
        <w:t xml:space="preserve">. Potrivit lui </w:t>
      </w:r>
      <w:r w:rsidRPr="00627C7B">
        <w:rPr>
          <w:rStyle w:val="Strong"/>
          <w:rFonts w:eastAsiaTheme="majorEastAsia"/>
          <w:b w:val="0"/>
          <w:bCs w:val="0"/>
          <w:i/>
          <w:iCs/>
        </w:rPr>
        <w:t>Dunn și Dunn</w:t>
      </w:r>
      <w:r w:rsidRPr="00627C7B">
        <w:t xml:space="preserve">, stilul de învățare reflectă modul individual de concentrare, procesare și asimilare a informațiilor noi și dificile. </w:t>
      </w:r>
      <w:r w:rsidRPr="00627C7B">
        <w:rPr>
          <w:rStyle w:val="Strong"/>
          <w:rFonts w:eastAsiaTheme="majorEastAsia"/>
          <w:b w:val="0"/>
          <w:bCs w:val="0"/>
          <w:i/>
          <w:iCs/>
        </w:rPr>
        <w:t>Kolb</w:t>
      </w:r>
      <w:r w:rsidRPr="00627C7B">
        <w:t xml:space="preserve"> accentuează faptul că acesta exprimă </w:t>
      </w:r>
      <w:r w:rsidRPr="00627C7B">
        <w:rPr>
          <w:rStyle w:val="Strong"/>
          <w:rFonts w:eastAsiaTheme="majorEastAsia"/>
          <w:b w:val="0"/>
          <w:bCs w:val="0"/>
        </w:rPr>
        <w:t>preferințele personale în transformarea experienței în cunoaștere</w:t>
      </w:r>
      <w:r w:rsidRPr="00627C7B">
        <w:t xml:space="preserve">, în timp ce </w:t>
      </w:r>
      <w:r w:rsidRPr="00627C7B">
        <w:rPr>
          <w:rStyle w:val="Strong"/>
          <w:rFonts w:eastAsiaTheme="majorEastAsia"/>
          <w:b w:val="0"/>
          <w:bCs w:val="0"/>
          <w:i/>
          <w:iCs/>
        </w:rPr>
        <w:t>Fleming</w:t>
      </w:r>
      <w:r w:rsidRPr="00627C7B">
        <w:t xml:space="preserve"> subliniază rolul </w:t>
      </w:r>
      <w:r w:rsidRPr="00627C7B">
        <w:rPr>
          <w:rStyle w:val="Strong"/>
          <w:rFonts w:eastAsiaTheme="majorEastAsia"/>
          <w:b w:val="0"/>
          <w:bCs w:val="0"/>
        </w:rPr>
        <w:t>canalelor senzoriale dominante</w:t>
      </w:r>
      <w:r w:rsidRPr="00627C7B">
        <w:t xml:space="preserve"> (vizual, auditiv, kinestezic) în modul în care informația este recepționată și transmisă. La rândul său, </w:t>
      </w:r>
      <w:r w:rsidRPr="00627C7B">
        <w:rPr>
          <w:rStyle w:val="Strong"/>
          <w:rFonts w:eastAsiaTheme="majorEastAsia"/>
          <w:b w:val="0"/>
          <w:bCs w:val="0"/>
          <w:i/>
          <w:iCs/>
        </w:rPr>
        <w:t>Keefe</w:t>
      </w:r>
      <w:r w:rsidRPr="00627C7B">
        <w:rPr>
          <w:i/>
          <w:iCs/>
        </w:rPr>
        <w:t xml:space="preserve"> d</w:t>
      </w:r>
      <w:r w:rsidRPr="00627C7B">
        <w:t xml:space="preserve">efinește </w:t>
      </w:r>
      <w:r w:rsidRPr="00547D5B">
        <w:rPr>
          <w:i/>
          <w:iCs/>
        </w:rPr>
        <w:t xml:space="preserve">stilurile de învățare ca fiind rezultatul </w:t>
      </w:r>
      <w:r w:rsidRPr="00547D5B">
        <w:rPr>
          <w:rStyle w:val="Strong"/>
          <w:rFonts w:eastAsiaTheme="majorEastAsia"/>
          <w:b w:val="0"/>
          <w:bCs w:val="0"/>
          <w:i/>
          <w:iCs/>
        </w:rPr>
        <w:t>interacțiunii dintre caracteristici cognitive, afective și psihologice</w:t>
      </w:r>
      <w:r w:rsidRPr="00547D5B">
        <w:rPr>
          <w:i/>
          <w:iCs/>
        </w:rPr>
        <w:t>, care influențează modul în care o persoană se raportează la mediul educațional.</w:t>
      </w:r>
      <w:r w:rsidRPr="00547D5B">
        <w:rPr>
          <w:i/>
          <w:iCs/>
        </w:rPr>
        <w:tab/>
      </w:r>
    </w:p>
    <w:p w14:paraId="394A72DB" w14:textId="5EE6D628" w:rsidR="00627C7B" w:rsidRPr="006B242B" w:rsidRDefault="00C8781B" w:rsidP="006B242B">
      <w:pPr>
        <w:pStyle w:val="NormalWeb"/>
        <w:spacing w:before="0" w:beforeAutospacing="0" w:after="0" w:afterAutospacing="0" w:line="360" w:lineRule="auto"/>
        <w:ind w:firstLine="319"/>
        <w:jc w:val="both"/>
      </w:pPr>
      <w:r w:rsidRPr="00627C7B">
        <w:t>Importanța identificării și înțelegerii stilului propriu de învățare derivă din posibilitatea personalizării procesului educațional, fapt ce conduce la o învățare mai eficientă, creșterea motivației și reducerea efortului inutil</w:t>
      </w:r>
      <w:r w:rsidR="006B242B">
        <w:t>.</w:t>
      </w:r>
      <w:r w:rsidR="00627C7B" w:rsidRPr="00627C7B">
        <w:rPr>
          <w:rFonts w:ascii="Arial" w:hAnsi="Arial" w:cs="Arial"/>
          <w:vanish/>
          <w:sz w:val="16"/>
          <w:szCs w:val="16"/>
        </w:rPr>
        <w:t>Top of Form</w:t>
      </w:r>
    </w:p>
    <w:p w14:paraId="00D45DFA" w14:textId="6BEE46CA" w:rsidR="00C8781B" w:rsidRPr="006B242B" w:rsidRDefault="00C8781B" w:rsidP="006B242B">
      <w:pPr>
        <w:jc w:val="center"/>
        <w:rPr>
          <w:rFonts w:ascii="Times New Roman" w:hAnsi="Times New Roman" w:cs="Times New Roman"/>
          <w:i/>
          <w:iCs/>
        </w:rPr>
      </w:pPr>
      <w:r w:rsidRPr="006B242B">
        <w:rPr>
          <w:rFonts w:ascii="Times New Roman" w:hAnsi="Times New Roman" w:cs="Times New Roman"/>
          <w:i/>
          <w:iCs/>
        </w:rPr>
        <w:t>Principalele modele și clasificări ale stilurilor de învățare</w:t>
      </w:r>
    </w:p>
    <w:p w14:paraId="6E25F564" w14:textId="05C418C1" w:rsidR="00C8781B" w:rsidRPr="006B242B" w:rsidRDefault="00C8781B" w:rsidP="006B242B">
      <w:pPr>
        <w:spacing w:after="0" w:line="360" w:lineRule="auto"/>
        <w:jc w:val="both"/>
        <w:rPr>
          <w:rFonts w:ascii="Times New Roman" w:hAnsi="Times New Roman" w:cs="Times New Roman"/>
          <w:i/>
          <w:iCs/>
          <w:u w:val="single"/>
        </w:rPr>
      </w:pPr>
      <w:r w:rsidRPr="006B242B">
        <w:rPr>
          <w:rFonts w:ascii="Times New Roman" w:hAnsi="Times New Roman" w:cs="Times New Roman"/>
          <w:i/>
          <w:iCs/>
          <w:u w:val="single"/>
        </w:rPr>
        <w:t>1. Modelul VARK (Fleming &amp; Mills, 1992)</w:t>
      </w:r>
    </w:p>
    <w:p w14:paraId="4143F8A9" w14:textId="77777777" w:rsidR="00C8781B" w:rsidRPr="006B242B" w:rsidRDefault="00C8781B" w:rsidP="006B242B">
      <w:pPr>
        <w:spacing w:after="0" w:line="360" w:lineRule="auto"/>
        <w:ind w:firstLine="708"/>
        <w:jc w:val="both"/>
        <w:rPr>
          <w:rFonts w:ascii="Times New Roman" w:hAnsi="Times New Roman" w:cs="Times New Roman"/>
        </w:rPr>
      </w:pPr>
      <w:r w:rsidRPr="006B242B">
        <w:rPr>
          <w:rFonts w:ascii="Times New Roman" w:hAnsi="Times New Roman" w:cs="Times New Roman"/>
        </w:rPr>
        <w:t>VARK este un acronim pentru Visual (vizual), Auditory (auditiv), Reading/Writing (citit/scris), Kinesthetic (kinestezic) și reprezintă unul dintre cele mai utilizate modele practice în universități pentru identificarea preferințelor senzoriale în procesul de învățare.</w:t>
      </w:r>
    </w:p>
    <w:p w14:paraId="67A75005" w14:textId="77777777" w:rsidR="00C8781B" w:rsidRPr="006B242B" w:rsidRDefault="00C8781B" w:rsidP="006B242B">
      <w:pPr>
        <w:pStyle w:val="ListParagraph"/>
        <w:numPr>
          <w:ilvl w:val="0"/>
          <w:numId w:val="16"/>
        </w:numPr>
        <w:spacing w:line="360" w:lineRule="auto"/>
        <w:jc w:val="both"/>
        <w:rPr>
          <w:rFonts w:ascii="Times New Roman" w:hAnsi="Times New Roman" w:cs="Times New Roman"/>
        </w:rPr>
      </w:pPr>
      <w:r w:rsidRPr="006B242B">
        <w:rPr>
          <w:rFonts w:ascii="Times New Roman" w:hAnsi="Times New Roman" w:cs="Times New Roman"/>
        </w:rPr>
        <w:t>Stilul vizual: Predomină percepția prin imagini, grafice, diagrame, culori, hărți mentale.</w:t>
      </w:r>
    </w:p>
    <w:p w14:paraId="18B5CDD9" w14:textId="77777777" w:rsidR="00C8781B" w:rsidRPr="006B242B" w:rsidRDefault="00C8781B" w:rsidP="006B242B">
      <w:pPr>
        <w:pStyle w:val="ListParagraph"/>
        <w:numPr>
          <w:ilvl w:val="0"/>
          <w:numId w:val="16"/>
        </w:numPr>
        <w:spacing w:line="360" w:lineRule="auto"/>
        <w:jc w:val="both"/>
        <w:rPr>
          <w:rFonts w:ascii="Times New Roman" w:hAnsi="Times New Roman" w:cs="Times New Roman"/>
        </w:rPr>
      </w:pPr>
      <w:r w:rsidRPr="006B242B">
        <w:rPr>
          <w:rFonts w:ascii="Times New Roman" w:hAnsi="Times New Roman" w:cs="Times New Roman"/>
        </w:rPr>
        <w:t>Stilul auditiv: Preferința pentru învățarea prin ascultare – prelegeri, discuții, explicații verbale.</w:t>
      </w:r>
    </w:p>
    <w:p w14:paraId="11A6C53E" w14:textId="77777777" w:rsidR="00C8781B" w:rsidRPr="006B242B" w:rsidRDefault="00C8781B" w:rsidP="006B242B">
      <w:pPr>
        <w:pStyle w:val="ListParagraph"/>
        <w:numPr>
          <w:ilvl w:val="0"/>
          <w:numId w:val="16"/>
        </w:numPr>
        <w:spacing w:line="360" w:lineRule="auto"/>
        <w:jc w:val="both"/>
        <w:rPr>
          <w:rFonts w:ascii="Times New Roman" w:hAnsi="Times New Roman" w:cs="Times New Roman"/>
        </w:rPr>
      </w:pPr>
      <w:r w:rsidRPr="006B242B">
        <w:rPr>
          <w:rFonts w:ascii="Times New Roman" w:hAnsi="Times New Roman" w:cs="Times New Roman"/>
        </w:rPr>
        <w:t>Stilul citit/scris: Predomină procesarea informației prin text scris, notițe, lecturi.</w:t>
      </w:r>
    </w:p>
    <w:p w14:paraId="45E992F8" w14:textId="77777777" w:rsidR="00C8781B" w:rsidRPr="006B242B" w:rsidRDefault="00C8781B" w:rsidP="006B242B">
      <w:pPr>
        <w:pStyle w:val="ListParagraph"/>
        <w:numPr>
          <w:ilvl w:val="0"/>
          <w:numId w:val="16"/>
        </w:numPr>
        <w:spacing w:after="0" w:line="360" w:lineRule="auto"/>
        <w:jc w:val="both"/>
        <w:rPr>
          <w:rFonts w:ascii="Times New Roman" w:hAnsi="Times New Roman" w:cs="Times New Roman"/>
        </w:rPr>
      </w:pPr>
      <w:r w:rsidRPr="006B242B">
        <w:rPr>
          <w:rFonts w:ascii="Times New Roman" w:hAnsi="Times New Roman" w:cs="Times New Roman"/>
        </w:rPr>
        <w:t>Stilul kinestezic: Învățarea prin experiențe practice, mișcare, simulări.</w:t>
      </w:r>
    </w:p>
    <w:p w14:paraId="2CB81DD2" w14:textId="5C55B8DE" w:rsidR="00C8781B" w:rsidRPr="006B242B" w:rsidRDefault="00C8781B" w:rsidP="006B242B">
      <w:pPr>
        <w:spacing w:after="0" w:line="360" w:lineRule="auto"/>
        <w:jc w:val="both"/>
        <w:rPr>
          <w:rFonts w:ascii="Times New Roman" w:hAnsi="Times New Roman" w:cs="Times New Roman"/>
          <w:i/>
          <w:iCs/>
          <w:u w:val="single"/>
        </w:rPr>
      </w:pPr>
      <w:r w:rsidRPr="006B242B">
        <w:rPr>
          <w:rFonts w:ascii="Times New Roman" w:hAnsi="Times New Roman" w:cs="Times New Roman"/>
          <w:i/>
          <w:iCs/>
          <w:u w:val="single"/>
        </w:rPr>
        <w:t>2. Modelul Felder-Silverman (1988)</w:t>
      </w:r>
    </w:p>
    <w:p w14:paraId="2E5CC015" w14:textId="77777777" w:rsidR="00C8781B" w:rsidRPr="006B242B" w:rsidRDefault="00C8781B" w:rsidP="006B242B">
      <w:pPr>
        <w:spacing w:after="0" w:line="360" w:lineRule="auto"/>
        <w:jc w:val="both"/>
        <w:rPr>
          <w:rFonts w:ascii="Times New Roman" w:hAnsi="Times New Roman" w:cs="Times New Roman"/>
        </w:rPr>
      </w:pPr>
      <w:r w:rsidRPr="006B242B">
        <w:rPr>
          <w:rFonts w:ascii="Times New Roman" w:hAnsi="Times New Roman" w:cs="Times New Roman"/>
        </w:rPr>
        <w:t>Modelul propune o abordare multidimensională a stilurilor de învățare:</w:t>
      </w:r>
    </w:p>
    <w:p w14:paraId="3741A159" w14:textId="77777777" w:rsidR="00C8781B" w:rsidRPr="006B242B" w:rsidRDefault="00C8781B" w:rsidP="006B242B">
      <w:pPr>
        <w:pStyle w:val="ListParagraph"/>
        <w:numPr>
          <w:ilvl w:val="0"/>
          <w:numId w:val="17"/>
        </w:numPr>
        <w:spacing w:after="0" w:line="360" w:lineRule="auto"/>
        <w:jc w:val="both"/>
        <w:rPr>
          <w:rFonts w:ascii="Times New Roman" w:hAnsi="Times New Roman" w:cs="Times New Roman"/>
        </w:rPr>
      </w:pPr>
      <w:r w:rsidRPr="006B242B">
        <w:rPr>
          <w:rFonts w:ascii="Times New Roman" w:hAnsi="Times New Roman" w:cs="Times New Roman"/>
        </w:rPr>
        <w:t>Activ – Reflexiv: În timp ce activii învață prin implicare directă, reflexivii preferă analiza și reflecția.</w:t>
      </w:r>
    </w:p>
    <w:p w14:paraId="6BD7A441" w14:textId="77777777" w:rsidR="00C8781B" w:rsidRPr="006B242B" w:rsidRDefault="00C8781B" w:rsidP="006B242B">
      <w:pPr>
        <w:pStyle w:val="ListParagraph"/>
        <w:numPr>
          <w:ilvl w:val="0"/>
          <w:numId w:val="17"/>
        </w:numPr>
        <w:spacing w:line="360" w:lineRule="auto"/>
        <w:jc w:val="both"/>
        <w:rPr>
          <w:rFonts w:ascii="Times New Roman" w:hAnsi="Times New Roman" w:cs="Times New Roman"/>
        </w:rPr>
      </w:pPr>
      <w:r w:rsidRPr="006B242B">
        <w:rPr>
          <w:rFonts w:ascii="Times New Roman" w:hAnsi="Times New Roman" w:cs="Times New Roman"/>
        </w:rPr>
        <w:lastRenderedPageBreak/>
        <w:t>Senzorial – Intuitiv: Senzorialii sunt orientați spre informații concrete și practice, intuitivii spre concepte și teorii.</w:t>
      </w:r>
    </w:p>
    <w:p w14:paraId="4AC5320C" w14:textId="77777777" w:rsidR="00C8781B" w:rsidRPr="006B242B" w:rsidRDefault="00C8781B" w:rsidP="006B242B">
      <w:pPr>
        <w:pStyle w:val="ListParagraph"/>
        <w:numPr>
          <w:ilvl w:val="0"/>
          <w:numId w:val="17"/>
        </w:numPr>
        <w:spacing w:line="360" w:lineRule="auto"/>
        <w:jc w:val="both"/>
        <w:rPr>
          <w:rFonts w:ascii="Times New Roman" w:hAnsi="Times New Roman" w:cs="Times New Roman"/>
        </w:rPr>
      </w:pPr>
      <w:r w:rsidRPr="006B242B">
        <w:rPr>
          <w:rFonts w:ascii="Times New Roman" w:hAnsi="Times New Roman" w:cs="Times New Roman"/>
        </w:rPr>
        <w:t>Vizual – Verbal: Vizualii învață mai bine prin imagini, verbalilor le sunt mai utile explicațiile și textele.</w:t>
      </w:r>
    </w:p>
    <w:p w14:paraId="0A1DC783" w14:textId="77777777" w:rsidR="00C8781B" w:rsidRPr="006B242B" w:rsidRDefault="00C8781B" w:rsidP="006B242B">
      <w:pPr>
        <w:pStyle w:val="ListParagraph"/>
        <w:numPr>
          <w:ilvl w:val="0"/>
          <w:numId w:val="17"/>
        </w:numPr>
        <w:spacing w:after="0" w:line="360" w:lineRule="auto"/>
        <w:jc w:val="both"/>
        <w:rPr>
          <w:rFonts w:ascii="Times New Roman" w:hAnsi="Times New Roman" w:cs="Times New Roman"/>
        </w:rPr>
      </w:pPr>
      <w:r w:rsidRPr="006B242B">
        <w:rPr>
          <w:rFonts w:ascii="Times New Roman" w:hAnsi="Times New Roman" w:cs="Times New Roman"/>
        </w:rPr>
        <w:t>Secvențial – Global: Secvențialii asimilează cunoștințele într-un mod liniar și pas cu pas, globalii percep ansamblul și conexiunile generale.</w:t>
      </w:r>
    </w:p>
    <w:p w14:paraId="337B9534" w14:textId="4D77F2B4" w:rsidR="00C8781B" w:rsidRPr="006B242B" w:rsidRDefault="00C8781B" w:rsidP="006B242B">
      <w:pPr>
        <w:spacing w:after="0" w:line="360" w:lineRule="auto"/>
        <w:jc w:val="both"/>
        <w:rPr>
          <w:rFonts w:ascii="Times New Roman" w:hAnsi="Times New Roman" w:cs="Times New Roman"/>
          <w:i/>
          <w:iCs/>
        </w:rPr>
      </w:pPr>
      <w:r w:rsidRPr="006B242B">
        <w:rPr>
          <w:rFonts w:ascii="Times New Roman" w:hAnsi="Times New Roman" w:cs="Times New Roman"/>
          <w:i/>
          <w:iCs/>
        </w:rPr>
        <w:t>3. Modelul Experiențial al lui Kolb (1984)</w:t>
      </w:r>
    </w:p>
    <w:p w14:paraId="2717B09A" w14:textId="77777777" w:rsidR="00C8781B" w:rsidRPr="006B242B" w:rsidRDefault="00C8781B" w:rsidP="006B242B">
      <w:pPr>
        <w:spacing w:after="0" w:line="360" w:lineRule="auto"/>
        <w:jc w:val="both"/>
        <w:rPr>
          <w:rFonts w:ascii="Times New Roman" w:hAnsi="Times New Roman" w:cs="Times New Roman"/>
        </w:rPr>
      </w:pPr>
      <w:r w:rsidRPr="006B242B">
        <w:rPr>
          <w:rFonts w:ascii="Times New Roman" w:hAnsi="Times New Roman" w:cs="Times New Roman"/>
        </w:rPr>
        <w:t>Acest model definește stilurile de învățare în funcție de ciclul experiențial:</w:t>
      </w:r>
    </w:p>
    <w:p w14:paraId="52DECD13" w14:textId="77777777" w:rsidR="00C8781B" w:rsidRPr="006B242B" w:rsidRDefault="00C8781B" w:rsidP="006B242B">
      <w:pPr>
        <w:pStyle w:val="ListParagraph"/>
        <w:numPr>
          <w:ilvl w:val="0"/>
          <w:numId w:val="18"/>
        </w:numPr>
        <w:spacing w:after="0" w:line="360" w:lineRule="auto"/>
        <w:jc w:val="both"/>
        <w:rPr>
          <w:rFonts w:ascii="Times New Roman" w:hAnsi="Times New Roman" w:cs="Times New Roman"/>
        </w:rPr>
      </w:pPr>
      <w:r w:rsidRPr="006B242B">
        <w:rPr>
          <w:rFonts w:ascii="Times New Roman" w:hAnsi="Times New Roman" w:cs="Times New Roman"/>
        </w:rPr>
        <w:t>Convergent: Orientat spre soluționarea problemelor tehnice.</w:t>
      </w:r>
    </w:p>
    <w:p w14:paraId="486E3688" w14:textId="77777777" w:rsidR="00C8781B" w:rsidRPr="006B242B" w:rsidRDefault="00C8781B" w:rsidP="006B242B">
      <w:pPr>
        <w:pStyle w:val="ListParagraph"/>
        <w:numPr>
          <w:ilvl w:val="0"/>
          <w:numId w:val="18"/>
        </w:numPr>
        <w:spacing w:line="360" w:lineRule="auto"/>
        <w:jc w:val="both"/>
        <w:rPr>
          <w:rFonts w:ascii="Times New Roman" w:hAnsi="Times New Roman" w:cs="Times New Roman"/>
        </w:rPr>
      </w:pPr>
      <w:r w:rsidRPr="006B242B">
        <w:rPr>
          <w:rFonts w:ascii="Times New Roman" w:hAnsi="Times New Roman" w:cs="Times New Roman"/>
        </w:rPr>
        <w:t>Divergent: Creativ, orientat spre generarea de idei și perspective multiple.</w:t>
      </w:r>
    </w:p>
    <w:p w14:paraId="472ED712" w14:textId="77777777" w:rsidR="00C8781B" w:rsidRPr="006B242B" w:rsidRDefault="00C8781B" w:rsidP="006B242B">
      <w:pPr>
        <w:pStyle w:val="ListParagraph"/>
        <w:numPr>
          <w:ilvl w:val="0"/>
          <w:numId w:val="18"/>
        </w:numPr>
        <w:spacing w:line="360" w:lineRule="auto"/>
        <w:jc w:val="both"/>
        <w:rPr>
          <w:rFonts w:ascii="Times New Roman" w:hAnsi="Times New Roman" w:cs="Times New Roman"/>
        </w:rPr>
      </w:pPr>
      <w:r w:rsidRPr="006B242B">
        <w:rPr>
          <w:rFonts w:ascii="Times New Roman" w:hAnsi="Times New Roman" w:cs="Times New Roman"/>
        </w:rPr>
        <w:t>Asimilator: Analitic, focusat pe teoria și abstractizarea informației.</w:t>
      </w:r>
    </w:p>
    <w:p w14:paraId="2307A383" w14:textId="7E29AF05" w:rsidR="00C8781B" w:rsidRPr="006B242B" w:rsidRDefault="00C8781B" w:rsidP="006B242B">
      <w:pPr>
        <w:pStyle w:val="ListParagraph"/>
        <w:numPr>
          <w:ilvl w:val="0"/>
          <w:numId w:val="18"/>
        </w:numPr>
        <w:spacing w:line="360" w:lineRule="auto"/>
        <w:jc w:val="both"/>
        <w:rPr>
          <w:rFonts w:ascii="Times New Roman" w:hAnsi="Times New Roman" w:cs="Times New Roman"/>
        </w:rPr>
      </w:pPr>
      <w:r w:rsidRPr="006B242B">
        <w:rPr>
          <w:rFonts w:ascii="Times New Roman" w:hAnsi="Times New Roman" w:cs="Times New Roman"/>
        </w:rPr>
        <w:t>Acomodator: Pragmatic, implicat în învățarea bazată pe experimentare.</w:t>
      </w:r>
    </w:p>
    <w:p w14:paraId="214BD9C2" w14:textId="202C502C" w:rsidR="00C8781B" w:rsidRPr="006B242B" w:rsidRDefault="006B242B" w:rsidP="006B242B">
      <w:pPr>
        <w:spacing w:after="0" w:line="360" w:lineRule="auto"/>
        <w:ind w:firstLine="360"/>
        <w:jc w:val="both"/>
        <w:rPr>
          <w:rFonts w:ascii="Times New Roman" w:hAnsi="Times New Roman" w:cs="Times New Roman"/>
        </w:rPr>
      </w:pPr>
      <w:r w:rsidRPr="006B242B">
        <w:rPr>
          <w:rFonts w:ascii="Times New Roman" w:hAnsi="Times New Roman" w:cs="Times New Roman"/>
        </w:rPr>
        <w:t>Cunoașterea stilului propriu de învățare permite o adaptare personalizată a strategiilor și tehnicilor didactice, ceea ce duce la creșterea eficienței învățării. Alegerea metodelor potrivite optimizează asimilarea și retenția cunoștințelor. Folosirea tehnicilor adecvate stilului personal minimizează efortul și stresul. Procesul de învățare devine mai plăcut și mai puțin frustrant. În contrapartidă, ignorarea stilului propriu poate duce la dificultăți în înțelegerea și aplicarea cunoștințelor, scăderea motivației și performanțe sub nivelul potențialului.</w:t>
      </w:r>
    </w:p>
    <w:p w14:paraId="23F7A693" w14:textId="5F0C7D7A" w:rsidR="006B242B" w:rsidRPr="006B242B" w:rsidRDefault="006B242B" w:rsidP="006B242B">
      <w:pPr>
        <w:spacing w:after="0" w:line="360" w:lineRule="auto"/>
        <w:ind w:firstLine="360"/>
        <w:jc w:val="both"/>
        <w:rPr>
          <w:rFonts w:ascii="Times New Roman" w:hAnsi="Times New Roman" w:cs="Times New Roman"/>
        </w:rPr>
      </w:pPr>
      <w:r w:rsidRPr="006B242B">
        <w:rPr>
          <w:rFonts w:ascii="Times New Roman" w:hAnsi="Times New Roman" w:cs="Times New Roman"/>
        </w:rPr>
        <w:t>Pentru a valorifica la maximum potențialul propriu, studenții sunt încurajați să adopte strategii care se potrivesc stilului lor de învățare predominant. Alegerea metodelor corespunzătoare crește eficiența învățării, facilitează retenția cunoștințelor și reduce efortul și stresul asociat procesului de studiu.</w:t>
      </w:r>
    </w:p>
    <w:p w14:paraId="0DBA1AAB" w14:textId="3527A4C2" w:rsidR="006B242B" w:rsidRPr="006B242B" w:rsidRDefault="006B242B" w:rsidP="006B242B">
      <w:pPr>
        <w:pStyle w:val="ListParagraph"/>
        <w:numPr>
          <w:ilvl w:val="0"/>
          <w:numId w:val="19"/>
        </w:numPr>
        <w:spacing w:after="0" w:line="360" w:lineRule="auto"/>
        <w:ind w:left="0" w:firstLine="360"/>
        <w:jc w:val="both"/>
        <w:rPr>
          <w:rFonts w:ascii="Times New Roman" w:hAnsi="Times New Roman" w:cs="Times New Roman"/>
        </w:rPr>
      </w:pPr>
      <w:r w:rsidRPr="006B242B">
        <w:rPr>
          <w:rFonts w:ascii="Times New Roman" w:hAnsi="Times New Roman" w:cs="Times New Roman"/>
        </w:rPr>
        <w:t>Stil vizual: Studenții care învață cel mai bine vizual pot beneficia de utilizarea schemelor, diagramelor și grafurilor pentru organizarea informației. Prezentările PowerPoint cu imagini sugestive sau hărți conceptuale ajută la fixarea și conectarea ideilor. Ilustrațiile și materialele vizuale facilitează memorarea și înțelegerea conceptelor abstracte.</w:t>
      </w:r>
    </w:p>
    <w:p w14:paraId="3C5BBD1D" w14:textId="4CE86D49" w:rsidR="006B242B" w:rsidRPr="006B242B" w:rsidRDefault="006B242B" w:rsidP="006B242B">
      <w:pPr>
        <w:pStyle w:val="ListParagraph"/>
        <w:numPr>
          <w:ilvl w:val="0"/>
          <w:numId w:val="19"/>
        </w:numPr>
        <w:spacing w:line="360" w:lineRule="auto"/>
        <w:ind w:left="0" w:firstLine="360"/>
        <w:jc w:val="both"/>
        <w:rPr>
          <w:rFonts w:ascii="Times New Roman" w:hAnsi="Times New Roman" w:cs="Times New Roman"/>
        </w:rPr>
      </w:pPr>
      <w:r w:rsidRPr="006B242B">
        <w:rPr>
          <w:rFonts w:ascii="Times New Roman" w:hAnsi="Times New Roman" w:cs="Times New Roman"/>
        </w:rPr>
        <w:t>Stil auditiv: Cei cu preferință pentru învățarea auditivă învață eficient prin ascultare și comunicare. Participarea la seminarii interactive, ascultarea prelegerilor înregistrate, discuțiile de grup și dezbaterile contribuie la consolidarea informațiilor. Citirea cu voce tare și explicarea materialului altora pot îmbunătăți înțelegerea și memorarea.</w:t>
      </w:r>
    </w:p>
    <w:p w14:paraId="1FDAFD9A" w14:textId="0BB555F3" w:rsidR="006B242B" w:rsidRPr="006B242B" w:rsidRDefault="006B242B" w:rsidP="006B242B">
      <w:pPr>
        <w:pStyle w:val="ListParagraph"/>
        <w:numPr>
          <w:ilvl w:val="0"/>
          <w:numId w:val="19"/>
        </w:numPr>
        <w:spacing w:line="360" w:lineRule="auto"/>
        <w:ind w:left="0" w:firstLine="360"/>
        <w:jc w:val="both"/>
        <w:rPr>
          <w:rFonts w:ascii="Times New Roman" w:hAnsi="Times New Roman" w:cs="Times New Roman"/>
        </w:rPr>
      </w:pPr>
      <w:r w:rsidRPr="006B242B">
        <w:rPr>
          <w:rFonts w:ascii="Times New Roman" w:hAnsi="Times New Roman" w:cs="Times New Roman"/>
        </w:rPr>
        <w:t xml:space="preserve">Stil citit/scris: Studenții care preferă stilul citit/scris se descurcă mai bine prin lectură intensivă și redactarea de rezumate sau sinteze. Luarea de notițe detaliate și organizarea informației în fișe sau tabele </w:t>
      </w:r>
      <w:r w:rsidRPr="006B242B">
        <w:rPr>
          <w:rFonts w:ascii="Times New Roman" w:hAnsi="Times New Roman" w:cs="Times New Roman"/>
        </w:rPr>
        <w:lastRenderedPageBreak/>
        <w:t>ajută la structurarea cunoștințelor și la aprofundarea materialului. Redactarea propriei interpretări a textelor citite dezvoltă gândirea critică și capacitatea de analiză.</w:t>
      </w:r>
    </w:p>
    <w:p w14:paraId="2F3FB238" w14:textId="77777777" w:rsidR="006B242B" w:rsidRPr="006B242B" w:rsidRDefault="006B242B" w:rsidP="006B242B">
      <w:pPr>
        <w:pStyle w:val="ListParagraph"/>
        <w:numPr>
          <w:ilvl w:val="0"/>
          <w:numId w:val="19"/>
        </w:numPr>
        <w:spacing w:line="360" w:lineRule="auto"/>
        <w:ind w:left="0" w:firstLine="360"/>
        <w:jc w:val="both"/>
        <w:rPr>
          <w:rFonts w:ascii="Times New Roman" w:hAnsi="Times New Roman" w:cs="Times New Roman"/>
        </w:rPr>
      </w:pPr>
      <w:r w:rsidRPr="006B242B">
        <w:rPr>
          <w:rFonts w:ascii="Times New Roman" w:hAnsi="Times New Roman" w:cs="Times New Roman"/>
        </w:rPr>
        <w:t>Stil kinestezic: Învățarea prin experiență este esențială pentru studenții kinestezici. Participarea la exerciții practice, laboratoare, simulări sau studii de caz le permite să înțeleagă și să aplice conceptele teoretice. Învățarea prin proiecte, role-play sau activități care implică mișcare și experimentare directă contribuie la fixarea informației și la dezvoltarea abilităților practice.</w:t>
      </w:r>
    </w:p>
    <w:p w14:paraId="39A4EDCE" w14:textId="77777777" w:rsidR="006B242B" w:rsidRPr="006B242B" w:rsidRDefault="006B242B" w:rsidP="006B242B">
      <w:pPr>
        <w:spacing w:line="360" w:lineRule="auto"/>
        <w:jc w:val="both"/>
        <w:rPr>
          <w:rFonts w:ascii="Times New Roman" w:hAnsi="Times New Roman" w:cs="Times New Roman"/>
        </w:rPr>
      </w:pPr>
    </w:p>
    <w:p w14:paraId="6D4778EA" w14:textId="77777777" w:rsidR="00547D5B" w:rsidRDefault="006B242B" w:rsidP="00547D5B">
      <w:pPr>
        <w:spacing w:line="360" w:lineRule="auto"/>
        <w:ind w:firstLine="360"/>
        <w:jc w:val="both"/>
        <w:rPr>
          <w:rFonts w:ascii="Times New Roman" w:hAnsi="Times New Roman" w:cs="Times New Roman"/>
        </w:rPr>
      </w:pPr>
      <w:r w:rsidRPr="006B242B">
        <w:rPr>
          <w:rFonts w:ascii="Times New Roman" w:hAnsi="Times New Roman" w:cs="Times New Roman"/>
        </w:rPr>
        <w:t>Adoptarea unei strategii personalizate permite fiecărui student să învețe mai eficient și să-și optimizeze timpul de studiu. În plus, combinarea unor tehnici din diferite stiluri poate oferi un avantaj suplimentar, deoarece stimulează mai multe căi de procesare a informației și întărește memorarea pe termen lung.</w:t>
      </w:r>
    </w:p>
    <w:p w14:paraId="266C9DF3" w14:textId="77777777" w:rsidR="00320AD8" w:rsidRDefault="00320AD8" w:rsidP="00320AD8">
      <w:pPr>
        <w:pStyle w:val="ListParagraph"/>
        <w:tabs>
          <w:tab w:val="left" w:pos="142"/>
        </w:tabs>
        <w:spacing w:line="360" w:lineRule="auto"/>
        <w:ind w:left="142"/>
        <w:jc w:val="both"/>
        <w:rPr>
          <w:rFonts w:ascii="Times New Roman" w:hAnsi="Times New Roman" w:cs="Times New Roman"/>
          <w:b/>
          <w:bCs/>
        </w:rPr>
      </w:pPr>
      <w:r w:rsidRPr="007B1469">
        <w:rPr>
          <w:rFonts w:ascii="Times New Roman" w:hAnsi="Times New Roman" w:cs="Times New Roman"/>
          <w:b/>
          <w:bCs/>
        </w:rPr>
        <w:t>Sarcini de aplicare și reflecție:</w:t>
      </w:r>
    </w:p>
    <w:p w14:paraId="2FF43B82" w14:textId="77777777" w:rsidR="00320AD8" w:rsidRDefault="00320AD8" w:rsidP="00320AD8">
      <w:pPr>
        <w:pStyle w:val="NormalWeb"/>
        <w:numPr>
          <w:ilvl w:val="0"/>
          <w:numId w:val="23"/>
        </w:numPr>
        <w:spacing w:line="360" w:lineRule="auto"/>
      </w:pPr>
      <w:r>
        <w:t>Analizează o situație în care metoda de studiu folosită nu a fost potrivită stilului tău de învățare. Ce ai observat și ce ai schimba dacă ar trebui să repeți experiența?</w:t>
      </w:r>
    </w:p>
    <w:p w14:paraId="479BC7F6" w14:textId="77777777" w:rsidR="00320AD8" w:rsidRDefault="00320AD8" w:rsidP="00320AD8">
      <w:pPr>
        <w:pStyle w:val="NormalWeb"/>
        <w:numPr>
          <w:ilvl w:val="0"/>
          <w:numId w:val="23"/>
        </w:numPr>
        <w:spacing w:line="360" w:lineRule="auto"/>
      </w:pPr>
      <w:r>
        <w:t>Alege un concept dificil pe care l-ai învățat recent. Explică modul în care l-ai abordat folosind stilul tău de învățare predominant și menționează cum ar fi putut fi învățat printr-un alt stil.</w:t>
      </w:r>
    </w:p>
    <w:p w14:paraId="3E530B20" w14:textId="77777777" w:rsidR="00320AD8" w:rsidRDefault="00320AD8" w:rsidP="00320AD8">
      <w:pPr>
        <w:pStyle w:val="NormalWeb"/>
        <w:numPr>
          <w:ilvl w:val="0"/>
          <w:numId w:val="23"/>
        </w:numPr>
        <w:spacing w:line="360" w:lineRule="auto"/>
      </w:pPr>
      <w:r>
        <w:t>Reflectează asupra modului în care factorii externi (ex. mediul de învățare, programul de studiu, resursele disponibile) ți-au influențat aplicarea strategiilor autoreglatoare. Oferă două exemple clare.</w:t>
      </w:r>
    </w:p>
    <w:p w14:paraId="30EA452D" w14:textId="68A03EDE" w:rsidR="00320AD8" w:rsidRPr="00320AD8" w:rsidRDefault="00320AD8" w:rsidP="00320AD8">
      <w:pPr>
        <w:pStyle w:val="NormalWeb"/>
        <w:numPr>
          <w:ilvl w:val="0"/>
          <w:numId w:val="23"/>
        </w:numPr>
        <w:spacing w:line="360" w:lineRule="auto"/>
      </w:pPr>
      <w:r>
        <w:t>Imaginează-ți că trebuie să oferi unui coleg un sfat despre cum să își descopere stilul propriu de învățare. Ce pași i-ai recomanda și de ce?</w:t>
      </w:r>
    </w:p>
    <w:p w14:paraId="45AEB0C3" w14:textId="2C356871" w:rsidR="00547D5B" w:rsidRPr="00547D5B" w:rsidRDefault="00547D5B" w:rsidP="00547D5B">
      <w:pPr>
        <w:pStyle w:val="ListParagraph"/>
        <w:tabs>
          <w:tab w:val="left" w:pos="142"/>
        </w:tabs>
        <w:spacing w:after="0" w:line="360" w:lineRule="auto"/>
        <w:ind w:left="142"/>
        <w:jc w:val="both"/>
        <w:rPr>
          <w:rFonts w:ascii="Times New Roman" w:hAnsi="Times New Roman" w:cs="Times New Roman"/>
          <w:b/>
          <w:bCs/>
        </w:rPr>
      </w:pPr>
      <w:r w:rsidRPr="002564CE">
        <w:rPr>
          <w:rFonts w:ascii="Times New Roman" w:hAnsi="Times New Roman" w:cs="Times New Roman"/>
          <w:b/>
          <w:bCs/>
        </w:rPr>
        <w:t>Bibliografie:</w:t>
      </w:r>
    </w:p>
    <w:p w14:paraId="40686953" w14:textId="34493CF9" w:rsidR="00547D5B" w:rsidRPr="00547D5B" w:rsidRDefault="00547D5B" w:rsidP="00547D5B">
      <w:pPr>
        <w:pStyle w:val="NormalWeb"/>
        <w:numPr>
          <w:ilvl w:val="0"/>
          <w:numId w:val="21"/>
        </w:numPr>
        <w:spacing w:after="0" w:afterAutospacing="0" w:line="360" w:lineRule="auto"/>
        <w:ind w:left="142" w:hanging="284"/>
        <w:jc w:val="both"/>
        <w:rPr>
          <w:i/>
          <w:iCs/>
        </w:rPr>
      </w:pPr>
      <w:r w:rsidRPr="00547D5B">
        <w:rPr>
          <w:i/>
          <w:iCs/>
        </w:rPr>
        <w:t xml:space="preserve">Coffield, F., Moseley, D., Hall, E., &amp; Ecclestone, K. (2004). </w:t>
      </w:r>
      <w:r w:rsidRPr="00A24376">
        <w:rPr>
          <w:rStyle w:val="Emphasis"/>
          <w:rFonts w:eastAsiaTheme="majorEastAsia"/>
        </w:rPr>
        <w:t>Learning styles and pedagogy in post-16 learning: A systematic and critical review.</w:t>
      </w:r>
      <w:r w:rsidRPr="00547D5B">
        <w:rPr>
          <w:i/>
          <w:iCs/>
        </w:rPr>
        <w:t xml:space="preserve"> London: Learning and Skills Research Centre.</w:t>
      </w:r>
    </w:p>
    <w:p w14:paraId="009D5A17" w14:textId="78B4F133" w:rsidR="00547D5B" w:rsidRPr="00547D5B" w:rsidRDefault="00547D5B" w:rsidP="00547D5B">
      <w:pPr>
        <w:pStyle w:val="NormalWeb"/>
        <w:numPr>
          <w:ilvl w:val="0"/>
          <w:numId w:val="21"/>
        </w:numPr>
        <w:spacing w:line="360" w:lineRule="auto"/>
        <w:ind w:left="142" w:hanging="284"/>
        <w:jc w:val="both"/>
        <w:rPr>
          <w:i/>
          <w:iCs/>
        </w:rPr>
      </w:pPr>
      <w:r w:rsidRPr="00547D5B">
        <w:rPr>
          <w:i/>
          <w:iCs/>
        </w:rPr>
        <w:t xml:space="preserve">Entwistle, N., &amp; Ramsden, P. (1983). </w:t>
      </w:r>
      <w:r w:rsidRPr="00A24376">
        <w:rPr>
          <w:rStyle w:val="Emphasis"/>
          <w:rFonts w:eastAsiaTheme="majorEastAsia"/>
        </w:rPr>
        <w:t>Understanding student learning</w:t>
      </w:r>
      <w:r w:rsidRPr="00547D5B">
        <w:rPr>
          <w:rStyle w:val="Emphasis"/>
          <w:rFonts w:eastAsiaTheme="majorEastAsia"/>
          <w:i w:val="0"/>
          <w:iCs w:val="0"/>
        </w:rPr>
        <w:t>.</w:t>
      </w:r>
      <w:r w:rsidRPr="00547D5B">
        <w:rPr>
          <w:i/>
          <w:iCs/>
        </w:rPr>
        <w:t xml:space="preserve"> London: Croom Helm.</w:t>
      </w:r>
    </w:p>
    <w:p w14:paraId="2F95DC07" w14:textId="50961C13" w:rsidR="00547D5B" w:rsidRPr="00A24376" w:rsidRDefault="00547D5B" w:rsidP="00547D5B">
      <w:pPr>
        <w:pStyle w:val="NormalWeb"/>
        <w:numPr>
          <w:ilvl w:val="0"/>
          <w:numId w:val="21"/>
        </w:numPr>
        <w:spacing w:line="360" w:lineRule="auto"/>
        <w:ind w:left="142" w:hanging="284"/>
        <w:jc w:val="both"/>
      </w:pPr>
      <w:r w:rsidRPr="00547D5B">
        <w:rPr>
          <w:i/>
          <w:iCs/>
        </w:rPr>
        <w:t>Felder, R. M., &amp; Brent, R. (2005). Understanding student differences</w:t>
      </w:r>
      <w:r w:rsidRPr="00A24376">
        <w:t xml:space="preserve">. </w:t>
      </w:r>
      <w:r w:rsidRPr="00A24376">
        <w:rPr>
          <w:rStyle w:val="Emphasis"/>
          <w:rFonts w:eastAsiaTheme="majorEastAsia"/>
        </w:rPr>
        <w:t>Journal of Engineering Education</w:t>
      </w:r>
      <w:r w:rsidRPr="00A24376">
        <w:t>, 94(1), 57–72.</w:t>
      </w:r>
    </w:p>
    <w:p w14:paraId="2326D0D0" w14:textId="29BFEA22" w:rsidR="00547D5B" w:rsidRPr="00547D5B" w:rsidRDefault="00547D5B" w:rsidP="00547D5B">
      <w:pPr>
        <w:pStyle w:val="NormalWeb"/>
        <w:numPr>
          <w:ilvl w:val="0"/>
          <w:numId w:val="21"/>
        </w:numPr>
        <w:spacing w:line="360" w:lineRule="auto"/>
        <w:ind w:left="142" w:hanging="284"/>
        <w:jc w:val="both"/>
        <w:rPr>
          <w:i/>
          <w:iCs/>
        </w:rPr>
      </w:pPr>
      <w:r w:rsidRPr="00547D5B">
        <w:rPr>
          <w:i/>
          <w:iCs/>
        </w:rPr>
        <w:t xml:space="preserve">Felder, R. M., &amp; Silverman, L. K. (1988). Learning and teaching styles in engineering education. </w:t>
      </w:r>
      <w:r w:rsidRPr="00A24376">
        <w:rPr>
          <w:rStyle w:val="Emphasis"/>
          <w:rFonts w:eastAsiaTheme="majorEastAsia"/>
        </w:rPr>
        <w:t>Engineering Education</w:t>
      </w:r>
      <w:r w:rsidRPr="00A24376">
        <w:t>,</w:t>
      </w:r>
      <w:r w:rsidRPr="00547D5B">
        <w:rPr>
          <w:i/>
          <w:iCs/>
        </w:rPr>
        <w:t xml:space="preserve"> 78(7), 674–681.</w:t>
      </w:r>
    </w:p>
    <w:p w14:paraId="2325797E" w14:textId="4285DD0A" w:rsidR="00547D5B" w:rsidRPr="00547D5B" w:rsidRDefault="00547D5B" w:rsidP="00547D5B">
      <w:pPr>
        <w:pStyle w:val="NormalWeb"/>
        <w:numPr>
          <w:ilvl w:val="0"/>
          <w:numId w:val="21"/>
        </w:numPr>
        <w:spacing w:line="360" w:lineRule="auto"/>
        <w:ind w:left="142" w:hanging="284"/>
        <w:jc w:val="both"/>
        <w:rPr>
          <w:i/>
          <w:iCs/>
        </w:rPr>
      </w:pPr>
      <w:r w:rsidRPr="00547D5B">
        <w:rPr>
          <w:i/>
          <w:iCs/>
        </w:rPr>
        <w:lastRenderedPageBreak/>
        <w:t xml:space="preserve">Fleming, N. D., &amp; Mills, C. (1992). Not another inventory, rather a catalyst for reflection. </w:t>
      </w:r>
      <w:r w:rsidRPr="00A24376">
        <w:rPr>
          <w:rStyle w:val="Emphasis"/>
          <w:rFonts w:eastAsiaTheme="majorEastAsia"/>
        </w:rPr>
        <w:t>To Improve the Academy</w:t>
      </w:r>
      <w:r w:rsidRPr="00547D5B">
        <w:rPr>
          <w:i/>
          <w:iCs/>
        </w:rPr>
        <w:t>, 11(1), 137–155.</w:t>
      </w:r>
    </w:p>
    <w:p w14:paraId="6FB2A243" w14:textId="247D9570" w:rsidR="00547D5B" w:rsidRPr="00547D5B" w:rsidRDefault="00547D5B" w:rsidP="00547D5B">
      <w:pPr>
        <w:pStyle w:val="NormalWeb"/>
        <w:numPr>
          <w:ilvl w:val="0"/>
          <w:numId w:val="21"/>
        </w:numPr>
        <w:spacing w:line="360" w:lineRule="auto"/>
        <w:ind w:left="142" w:hanging="284"/>
        <w:jc w:val="both"/>
        <w:rPr>
          <w:i/>
          <w:iCs/>
        </w:rPr>
      </w:pPr>
      <w:r w:rsidRPr="00547D5B">
        <w:rPr>
          <w:i/>
          <w:iCs/>
        </w:rPr>
        <w:t xml:space="preserve">Keefe, J. W. (1979). Learning style: An overview. In </w:t>
      </w:r>
      <w:r w:rsidRPr="00A24376">
        <w:rPr>
          <w:rStyle w:val="Emphasis"/>
          <w:rFonts w:eastAsiaTheme="majorEastAsia"/>
        </w:rPr>
        <w:t>NASSP Student Learning Styles: Diagnosing and Prescribing Programs</w:t>
      </w:r>
      <w:r w:rsidRPr="00547D5B">
        <w:rPr>
          <w:i/>
          <w:iCs/>
        </w:rPr>
        <w:t xml:space="preserve"> (pp. 1–17). Reston, VA: National Association of Secondary School Principals.</w:t>
      </w:r>
    </w:p>
    <w:p w14:paraId="3307D179" w14:textId="00DAA423" w:rsidR="00547D5B" w:rsidRPr="00547D5B" w:rsidRDefault="00547D5B" w:rsidP="00547D5B">
      <w:pPr>
        <w:pStyle w:val="NormalWeb"/>
        <w:numPr>
          <w:ilvl w:val="0"/>
          <w:numId w:val="21"/>
        </w:numPr>
        <w:spacing w:line="360" w:lineRule="auto"/>
        <w:ind w:left="142" w:hanging="284"/>
        <w:jc w:val="both"/>
        <w:rPr>
          <w:i/>
          <w:iCs/>
        </w:rPr>
      </w:pPr>
      <w:r w:rsidRPr="00547D5B">
        <w:rPr>
          <w:i/>
          <w:iCs/>
        </w:rPr>
        <w:t xml:space="preserve">Kolb, D. A. (1984). </w:t>
      </w:r>
      <w:r w:rsidRPr="00A24376">
        <w:rPr>
          <w:rStyle w:val="Emphasis"/>
          <w:rFonts w:eastAsiaTheme="majorEastAsia"/>
        </w:rPr>
        <w:t>Experiential learning: Experience as the source of learning and development.</w:t>
      </w:r>
      <w:r w:rsidRPr="00547D5B">
        <w:rPr>
          <w:i/>
          <w:iCs/>
        </w:rPr>
        <w:t xml:space="preserve"> Englewood Cliffs, NJ: Prentice Hall.</w:t>
      </w:r>
    </w:p>
    <w:p w14:paraId="4DFBEB31" w14:textId="5ED779E7" w:rsidR="00547D5B" w:rsidRPr="00547D5B" w:rsidRDefault="00547D5B" w:rsidP="00547D5B">
      <w:pPr>
        <w:pStyle w:val="NormalWeb"/>
        <w:numPr>
          <w:ilvl w:val="0"/>
          <w:numId w:val="21"/>
        </w:numPr>
        <w:spacing w:line="360" w:lineRule="auto"/>
        <w:ind w:left="142" w:hanging="284"/>
        <w:jc w:val="both"/>
        <w:rPr>
          <w:i/>
          <w:iCs/>
        </w:rPr>
      </w:pPr>
      <w:r w:rsidRPr="00547D5B">
        <w:rPr>
          <w:i/>
          <w:iCs/>
        </w:rPr>
        <w:t xml:space="preserve">Dunn, R., &amp; Dunn, K. (1993). </w:t>
      </w:r>
      <w:r w:rsidRPr="00A24376">
        <w:rPr>
          <w:rStyle w:val="Emphasis"/>
          <w:rFonts w:eastAsiaTheme="majorEastAsia"/>
        </w:rPr>
        <w:t>Teaching secondary students through their individual learning styles: Practical approaches for grades 7–12.</w:t>
      </w:r>
      <w:r w:rsidRPr="00547D5B">
        <w:rPr>
          <w:i/>
          <w:iCs/>
        </w:rPr>
        <w:t xml:space="preserve"> Boston: Allyn &amp; Bacon.</w:t>
      </w:r>
    </w:p>
    <w:p w14:paraId="31887B42" w14:textId="47CFFBCD" w:rsidR="00547D5B" w:rsidRPr="00547D5B" w:rsidRDefault="00547D5B" w:rsidP="00547D5B">
      <w:pPr>
        <w:pStyle w:val="NormalWeb"/>
        <w:numPr>
          <w:ilvl w:val="0"/>
          <w:numId w:val="21"/>
        </w:numPr>
        <w:spacing w:line="360" w:lineRule="auto"/>
        <w:ind w:left="142" w:hanging="284"/>
        <w:jc w:val="both"/>
        <w:rPr>
          <w:i/>
          <w:iCs/>
        </w:rPr>
      </w:pPr>
      <w:r w:rsidRPr="00547D5B">
        <w:rPr>
          <w:i/>
          <w:iCs/>
        </w:rPr>
        <w:t xml:space="preserve">Pashler, H., McDaniel, M., Rohrer, D., &amp; Bjork, R. (2008). Learning styles: Concepts and evidence. </w:t>
      </w:r>
      <w:r w:rsidRPr="00A24376">
        <w:rPr>
          <w:rStyle w:val="Emphasis"/>
          <w:rFonts w:eastAsiaTheme="majorEastAsia"/>
        </w:rPr>
        <w:t>Psychological Science in the Public Interest</w:t>
      </w:r>
      <w:r w:rsidRPr="00547D5B">
        <w:rPr>
          <w:i/>
          <w:iCs/>
        </w:rPr>
        <w:t>, 9(3), 105–119.</w:t>
      </w:r>
    </w:p>
    <w:p w14:paraId="0ADAFDD1" w14:textId="738B1CEA" w:rsidR="00C8781B" w:rsidRDefault="00C8781B" w:rsidP="00C8781B">
      <w:pPr>
        <w:spacing w:after="0" w:line="240" w:lineRule="auto"/>
        <w:rPr>
          <w:rFonts w:ascii="Times New Roman" w:eastAsia="Times New Roman" w:hAnsi="Times New Roman" w:cs="Times New Roman"/>
          <w:kern w:val="0"/>
          <w14:ligatures w14:val="none"/>
        </w:rPr>
      </w:pPr>
    </w:p>
    <w:p w14:paraId="1DAD7F32" w14:textId="77777777" w:rsidR="00E02947" w:rsidRDefault="00E02947" w:rsidP="00C8781B">
      <w:pPr>
        <w:spacing w:after="0" w:line="240" w:lineRule="auto"/>
        <w:rPr>
          <w:rFonts w:ascii="Times New Roman" w:eastAsia="Times New Roman" w:hAnsi="Times New Roman" w:cs="Times New Roman"/>
          <w:kern w:val="0"/>
          <w14:ligatures w14:val="none"/>
        </w:rPr>
      </w:pPr>
    </w:p>
    <w:p w14:paraId="17CDD175" w14:textId="77777777" w:rsidR="00E02947" w:rsidRDefault="00E02947" w:rsidP="00C8781B">
      <w:pPr>
        <w:spacing w:after="0" w:line="240" w:lineRule="auto"/>
        <w:rPr>
          <w:rFonts w:ascii="Times New Roman" w:eastAsia="Times New Roman" w:hAnsi="Times New Roman" w:cs="Times New Roman"/>
          <w:kern w:val="0"/>
          <w14:ligatures w14:val="none"/>
        </w:rPr>
      </w:pPr>
    </w:p>
    <w:p w14:paraId="061DA81E" w14:textId="77777777" w:rsidR="00E02947" w:rsidRDefault="00E02947" w:rsidP="00C8781B">
      <w:pPr>
        <w:spacing w:after="0" w:line="240" w:lineRule="auto"/>
        <w:rPr>
          <w:rFonts w:ascii="Times New Roman" w:eastAsia="Times New Roman" w:hAnsi="Times New Roman" w:cs="Times New Roman"/>
          <w:kern w:val="0"/>
          <w14:ligatures w14:val="none"/>
        </w:rPr>
      </w:pPr>
    </w:p>
    <w:p w14:paraId="069BD79F" w14:textId="77777777" w:rsidR="00E02947" w:rsidRDefault="00E02947" w:rsidP="00C8781B">
      <w:pPr>
        <w:spacing w:after="0" w:line="240" w:lineRule="auto"/>
        <w:rPr>
          <w:rFonts w:ascii="Times New Roman" w:eastAsia="Times New Roman" w:hAnsi="Times New Roman" w:cs="Times New Roman"/>
          <w:kern w:val="0"/>
          <w14:ligatures w14:val="none"/>
        </w:rPr>
      </w:pPr>
    </w:p>
    <w:p w14:paraId="0B7304B7" w14:textId="77777777" w:rsidR="00E02947" w:rsidRDefault="00E02947" w:rsidP="00C8781B">
      <w:pPr>
        <w:spacing w:after="0" w:line="240" w:lineRule="auto"/>
        <w:rPr>
          <w:rFonts w:ascii="Times New Roman" w:eastAsia="Times New Roman" w:hAnsi="Times New Roman" w:cs="Times New Roman"/>
          <w:kern w:val="0"/>
          <w14:ligatures w14:val="none"/>
        </w:rPr>
      </w:pPr>
    </w:p>
    <w:p w14:paraId="4F31003B" w14:textId="77777777" w:rsidR="00E02947" w:rsidRDefault="00E02947" w:rsidP="00C8781B">
      <w:pPr>
        <w:spacing w:after="0" w:line="240" w:lineRule="auto"/>
        <w:rPr>
          <w:rFonts w:ascii="Times New Roman" w:eastAsia="Times New Roman" w:hAnsi="Times New Roman" w:cs="Times New Roman"/>
          <w:kern w:val="0"/>
          <w14:ligatures w14:val="none"/>
        </w:rPr>
      </w:pPr>
    </w:p>
    <w:p w14:paraId="03366D6F" w14:textId="77777777" w:rsidR="00E02947" w:rsidRDefault="00E02947" w:rsidP="00C8781B">
      <w:pPr>
        <w:spacing w:after="0" w:line="240" w:lineRule="auto"/>
        <w:rPr>
          <w:rFonts w:ascii="Times New Roman" w:eastAsia="Times New Roman" w:hAnsi="Times New Roman" w:cs="Times New Roman"/>
          <w:kern w:val="0"/>
          <w14:ligatures w14:val="none"/>
        </w:rPr>
      </w:pPr>
    </w:p>
    <w:p w14:paraId="58D966CC" w14:textId="77777777" w:rsidR="00E02947" w:rsidRDefault="00E02947" w:rsidP="00C8781B">
      <w:pPr>
        <w:spacing w:after="0" w:line="240" w:lineRule="auto"/>
        <w:rPr>
          <w:rFonts w:ascii="Times New Roman" w:eastAsia="Times New Roman" w:hAnsi="Times New Roman" w:cs="Times New Roman"/>
          <w:kern w:val="0"/>
          <w14:ligatures w14:val="none"/>
        </w:rPr>
      </w:pPr>
    </w:p>
    <w:p w14:paraId="4BE8EDA5" w14:textId="77777777" w:rsidR="00E02947" w:rsidRDefault="00E02947" w:rsidP="00C8781B">
      <w:pPr>
        <w:spacing w:after="0" w:line="240" w:lineRule="auto"/>
        <w:rPr>
          <w:rFonts w:ascii="Times New Roman" w:eastAsia="Times New Roman" w:hAnsi="Times New Roman" w:cs="Times New Roman"/>
          <w:kern w:val="0"/>
          <w14:ligatures w14:val="none"/>
        </w:rPr>
      </w:pPr>
    </w:p>
    <w:p w14:paraId="6D8CFCB3" w14:textId="77777777" w:rsidR="00E02947" w:rsidRDefault="00E02947" w:rsidP="00C8781B">
      <w:pPr>
        <w:spacing w:after="0" w:line="240" w:lineRule="auto"/>
        <w:rPr>
          <w:rFonts w:ascii="Times New Roman" w:eastAsia="Times New Roman" w:hAnsi="Times New Roman" w:cs="Times New Roman"/>
          <w:kern w:val="0"/>
          <w14:ligatures w14:val="none"/>
        </w:rPr>
      </w:pPr>
    </w:p>
    <w:p w14:paraId="7D27A86D" w14:textId="77777777" w:rsidR="00E02947" w:rsidRDefault="00E02947" w:rsidP="00C8781B">
      <w:pPr>
        <w:spacing w:after="0" w:line="240" w:lineRule="auto"/>
        <w:rPr>
          <w:rFonts w:ascii="Times New Roman" w:eastAsia="Times New Roman" w:hAnsi="Times New Roman" w:cs="Times New Roman"/>
          <w:kern w:val="0"/>
          <w14:ligatures w14:val="none"/>
        </w:rPr>
      </w:pPr>
    </w:p>
    <w:sectPr w:rsidR="00E02947" w:rsidSect="00627C7B">
      <w:headerReference w:type="even" r:id="rId7"/>
      <w:headerReference w:type="default" r:id="rId8"/>
      <w:footerReference w:type="even" r:id="rId9"/>
      <w:footerReference w:type="default" r:id="rId10"/>
      <w:headerReference w:type="first" r:id="rId11"/>
      <w:footerReference w:type="first" r:id="rId12"/>
      <w:pgSz w:w="11906" w:h="16838" w:code="9"/>
      <w:pgMar w:top="1440" w:right="566"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8B06A" w14:textId="77777777" w:rsidR="00197C78" w:rsidRDefault="00197C78" w:rsidP="008479E1">
      <w:pPr>
        <w:spacing w:after="0" w:line="240" w:lineRule="auto"/>
      </w:pPr>
      <w:r>
        <w:separator/>
      </w:r>
    </w:p>
  </w:endnote>
  <w:endnote w:type="continuationSeparator" w:id="0">
    <w:p w14:paraId="57A53D3D" w14:textId="77777777" w:rsidR="00197C78" w:rsidRDefault="00197C78" w:rsidP="0084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2210" w14:textId="77777777" w:rsidR="008479E1" w:rsidRDefault="00847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3E9C" w14:textId="77777777" w:rsidR="008479E1" w:rsidRPr="002B16F1" w:rsidRDefault="008479E1" w:rsidP="008479E1">
    <w:pPr>
      <w:pBdr>
        <w:top w:val="thinThickSmallGap" w:sz="24" w:space="0" w:color="006600"/>
      </w:pBdr>
      <w:tabs>
        <w:tab w:val="center" w:pos="4844"/>
        <w:tab w:val="right" w:pos="13590"/>
      </w:tabs>
      <w:spacing w:after="0" w:line="240" w:lineRule="auto"/>
      <w:ind w:right="59"/>
      <w:rPr>
        <w:rFonts w:ascii="Times New Roman" w:eastAsia="Times New Roman" w:hAnsi="Times New Roman" w:cs="Times New Roman"/>
        <w:lang w:val="ro-RO" w:eastAsia="ru-RU"/>
      </w:rPr>
    </w:pPr>
    <w:bookmarkStart w:id="3" w:name="_Hlk206679317"/>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bookmarkEnd w:id="3"/>
  <w:p w14:paraId="4A9AAA55" w14:textId="77777777" w:rsidR="008479E1" w:rsidRPr="002B16F1" w:rsidRDefault="008479E1" w:rsidP="008479E1">
    <w:pPr>
      <w:tabs>
        <w:tab w:val="center" w:pos="4844"/>
        <w:tab w:val="right" w:pos="9689"/>
      </w:tabs>
      <w:spacing w:after="0" w:line="240" w:lineRule="auto"/>
      <w:rPr>
        <w:rFonts w:ascii="Times New Roman" w:eastAsia="Times New Roman" w:hAnsi="Times New Roman" w:cs="Times New Roman"/>
        <w:lang w:val="it-IT" w:eastAsia="ru-RU"/>
      </w:rPr>
    </w:pPr>
    <w:r>
      <w:rPr>
        <w:rFonts w:ascii="Times New Roman" w:eastAsia="Times New Roman" w:hAnsi="Times New Roman" w:cs="Times New Roman"/>
        <w:lang w:val="it-IT" w:eastAsia="ru-RU"/>
      </w:rPr>
      <w:t xml:space="preserve"> </w:t>
    </w:r>
  </w:p>
  <w:p w14:paraId="5A87EBD8" w14:textId="77777777" w:rsidR="008479E1" w:rsidRDefault="00847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8987" w14:textId="77777777" w:rsidR="008479E1" w:rsidRDefault="00847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32E6" w14:textId="77777777" w:rsidR="00197C78" w:rsidRDefault="00197C78" w:rsidP="008479E1">
      <w:pPr>
        <w:spacing w:after="0" w:line="240" w:lineRule="auto"/>
      </w:pPr>
      <w:r>
        <w:separator/>
      </w:r>
    </w:p>
  </w:footnote>
  <w:footnote w:type="continuationSeparator" w:id="0">
    <w:p w14:paraId="7101E3BB" w14:textId="77777777" w:rsidR="00197C78" w:rsidRDefault="00197C78" w:rsidP="0084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C236" w14:textId="77777777" w:rsidR="008479E1" w:rsidRDefault="00847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1E1E" w14:textId="77777777" w:rsidR="008479E1" w:rsidRPr="002B16F1" w:rsidRDefault="008479E1" w:rsidP="008479E1">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0" w:name="_Hlk206679176"/>
    <w:bookmarkStart w:id="1" w:name="_Hlk206679177"/>
    <w:bookmarkStart w:id="2" w:name="_Hlk206679302"/>
    <w:r>
      <w:rPr>
        <w:rFonts w:ascii="Constantia" w:eastAsia="Times New Roman" w:hAnsi="Constantia" w:cs="Times New Roman"/>
        <w:noProof/>
        <w:lang w:eastAsia="ru-RU"/>
      </w:rPr>
      <w:drawing>
        <wp:inline distT="0" distB="0" distL="0" distR="0" wp14:anchorId="3BC2355F" wp14:editId="24865A80">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0"/>
    <w:bookmarkEnd w:id="1"/>
  </w:p>
  <w:bookmarkEnd w:id="2"/>
  <w:p w14:paraId="649188E5" w14:textId="77777777" w:rsidR="008479E1" w:rsidRDefault="00847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D860" w14:textId="77777777" w:rsidR="008479E1" w:rsidRDefault="00847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0A5"/>
    <w:multiLevelType w:val="multilevel"/>
    <w:tmpl w:val="7A48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3C3C"/>
    <w:multiLevelType w:val="multilevel"/>
    <w:tmpl w:val="FB36F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92B4F"/>
    <w:multiLevelType w:val="hybridMultilevel"/>
    <w:tmpl w:val="836E8D8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1B3B5C33"/>
    <w:multiLevelType w:val="hybridMultilevel"/>
    <w:tmpl w:val="D2E2B450"/>
    <w:lvl w:ilvl="0" w:tplc="A4D2AB18">
      <w:start w:val="1"/>
      <w:numFmt w:val="decimal"/>
      <w:lvlText w:val="%1."/>
      <w:lvlJc w:val="left"/>
      <w:pPr>
        <w:ind w:left="502"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CA75F98"/>
    <w:multiLevelType w:val="multilevel"/>
    <w:tmpl w:val="442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76707"/>
    <w:multiLevelType w:val="multilevel"/>
    <w:tmpl w:val="62FCD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14A2D"/>
    <w:multiLevelType w:val="multilevel"/>
    <w:tmpl w:val="B210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84996"/>
    <w:multiLevelType w:val="multilevel"/>
    <w:tmpl w:val="68F8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C6D84"/>
    <w:multiLevelType w:val="multilevel"/>
    <w:tmpl w:val="3DD8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747B8"/>
    <w:multiLevelType w:val="hybridMultilevel"/>
    <w:tmpl w:val="645EF4D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3C287A7F"/>
    <w:multiLevelType w:val="multilevel"/>
    <w:tmpl w:val="48EC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B679F"/>
    <w:multiLevelType w:val="hybridMultilevel"/>
    <w:tmpl w:val="18A4A89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53760F9C"/>
    <w:multiLevelType w:val="hybridMultilevel"/>
    <w:tmpl w:val="09D0B780"/>
    <w:lvl w:ilvl="0" w:tplc="384C3D5A">
      <w:start w:val="4"/>
      <w:numFmt w:val="bullet"/>
      <w:lvlText w:val="-"/>
      <w:lvlJc w:val="left"/>
      <w:pPr>
        <w:ind w:left="360" w:hanging="360"/>
      </w:pPr>
      <w:rPr>
        <w:rFonts w:ascii="Times New Roman" w:eastAsia="Times New Roman" w:hAnsi="Times New Roman" w:cs="Times New Roman" w:hint="default"/>
      </w:rPr>
    </w:lvl>
    <w:lvl w:ilvl="1" w:tplc="08180003">
      <w:start w:val="1"/>
      <w:numFmt w:val="bullet"/>
      <w:lvlText w:val="o"/>
      <w:lvlJc w:val="left"/>
      <w:pPr>
        <w:ind w:left="1080" w:hanging="360"/>
      </w:pPr>
      <w:rPr>
        <w:rFonts w:ascii="Courier New" w:hAnsi="Courier New" w:cs="Courier New" w:hint="default"/>
      </w:rPr>
    </w:lvl>
    <w:lvl w:ilvl="2" w:tplc="08180005">
      <w:start w:val="1"/>
      <w:numFmt w:val="bullet"/>
      <w:lvlText w:val=""/>
      <w:lvlJc w:val="left"/>
      <w:pPr>
        <w:ind w:left="1800" w:hanging="360"/>
      </w:pPr>
      <w:rPr>
        <w:rFonts w:ascii="Wingdings" w:hAnsi="Wingdings" w:hint="default"/>
      </w:rPr>
    </w:lvl>
    <w:lvl w:ilvl="3" w:tplc="08180001">
      <w:start w:val="1"/>
      <w:numFmt w:val="bullet"/>
      <w:lvlText w:val=""/>
      <w:lvlJc w:val="left"/>
      <w:pPr>
        <w:ind w:left="2520" w:hanging="360"/>
      </w:pPr>
      <w:rPr>
        <w:rFonts w:ascii="Symbol" w:hAnsi="Symbol" w:hint="default"/>
      </w:rPr>
    </w:lvl>
    <w:lvl w:ilvl="4" w:tplc="08180003">
      <w:start w:val="1"/>
      <w:numFmt w:val="bullet"/>
      <w:lvlText w:val="o"/>
      <w:lvlJc w:val="left"/>
      <w:pPr>
        <w:ind w:left="3240" w:hanging="360"/>
      </w:pPr>
      <w:rPr>
        <w:rFonts w:ascii="Courier New" w:hAnsi="Courier New" w:cs="Courier New" w:hint="default"/>
      </w:rPr>
    </w:lvl>
    <w:lvl w:ilvl="5" w:tplc="08180005">
      <w:start w:val="1"/>
      <w:numFmt w:val="bullet"/>
      <w:lvlText w:val=""/>
      <w:lvlJc w:val="left"/>
      <w:pPr>
        <w:ind w:left="3960" w:hanging="360"/>
      </w:pPr>
      <w:rPr>
        <w:rFonts w:ascii="Wingdings" w:hAnsi="Wingdings" w:hint="default"/>
      </w:rPr>
    </w:lvl>
    <w:lvl w:ilvl="6" w:tplc="08180001">
      <w:start w:val="1"/>
      <w:numFmt w:val="bullet"/>
      <w:lvlText w:val=""/>
      <w:lvlJc w:val="left"/>
      <w:pPr>
        <w:ind w:left="4680" w:hanging="360"/>
      </w:pPr>
      <w:rPr>
        <w:rFonts w:ascii="Symbol" w:hAnsi="Symbol" w:hint="default"/>
      </w:rPr>
    </w:lvl>
    <w:lvl w:ilvl="7" w:tplc="08180003">
      <w:start w:val="1"/>
      <w:numFmt w:val="bullet"/>
      <w:lvlText w:val="o"/>
      <w:lvlJc w:val="left"/>
      <w:pPr>
        <w:ind w:left="5400" w:hanging="360"/>
      </w:pPr>
      <w:rPr>
        <w:rFonts w:ascii="Courier New" w:hAnsi="Courier New" w:cs="Courier New" w:hint="default"/>
      </w:rPr>
    </w:lvl>
    <w:lvl w:ilvl="8" w:tplc="08180005">
      <w:start w:val="1"/>
      <w:numFmt w:val="bullet"/>
      <w:lvlText w:val=""/>
      <w:lvlJc w:val="left"/>
      <w:pPr>
        <w:ind w:left="6120" w:hanging="360"/>
      </w:pPr>
      <w:rPr>
        <w:rFonts w:ascii="Wingdings" w:hAnsi="Wingdings" w:hint="default"/>
      </w:rPr>
    </w:lvl>
  </w:abstractNum>
  <w:abstractNum w:abstractNumId="13" w15:restartNumberingAfterBreak="0">
    <w:nsid w:val="54447843"/>
    <w:multiLevelType w:val="multilevel"/>
    <w:tmpl w:val="C9D8F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0C71E0"/>
    <w:multiLevelType w:val="hybridMultilevel"/>
    <w:tmpl w:val="672C6874"/>
    <w:lvl w:ilvl="0" w:tplc="384C3D5A">
      <w:start w:val="4"/>
      <w:numFmt w:val="bullet"/>
      <w:lvlText w:val="-"/>
      <w:lvlJc w:val="left"/>
      <w:pPr>
        <w:ind w:left="1021" w:hanging="360"/>
      </w:pPr>
      <w:rPr>
        <w:rFonts w:ascii="Times New Roman" w:eastAsia="Times New Roman" w:hAnsi="Times New Roman" w:cs="Times New Roman" w:hint="default"/>
      </w:rPr>
    </w:lvl>
    <w:lvl w:ilvl="1" w:tplc="08180003">
      <w:start w:val="1"/>
      <w:numFmt w:val="bullet"/>
      <w:lvlText w:val="o"/>
      <w:lvlJc w:val="left"/>
      <w:pPr>
        <w:ind w:left="1741" w:hanging="360"/>
      </w:pPr>
      <w:rPr>
        <w:rFonts w:ascii="Courier New" w:hAnsi="Courier New" w:cs="Courier New" w:hint="default"/>
      </w:rPr>
    </w:lvl>
    <w:lvl w:ilvl="2" w:tplc="08180005">
      <w:start w:val="1"/>
      <w:numFmt w:val="bullet"/>
      <w:lvlText w:val=""/>
      <w:lvlJc w:val="left"/>
      <w:pPr>
        <w:ind w:left="2461" w:hanging="360"/>
      </w:pPr>
      <w:rPr>
        <w:rFonts w:ascii="Wingdings" w:hAnsi="Wingdings" w:hint="default"/>
      </w:rPr>
    </w:lvl>
    <w:lvl w:ilvl="3" w:tplc="08180001">
      <w:start w:val="1"/>
      <w:numFmt w:val="bullet"/>
      <w:lvlText w:val=""/>
      <w:lvlJc w:val="left"/>
      <w:pPr>
        <w:ind w:left="3181" w:hanging="360"/>
      </w:pPr>
      <w:rPr>
        <w:rFonts w:ascii="Symbol" w:hAnsi="Symbol" w:hint="default"/>
      </w:rPr>
    </w:lvl>
    <w:lvl w:ilvl="4" w:tplc="08180003">
      <w:start w:val="1"/>
      <w:numFmt w:val="bullet"/>
      <w:lvlText w:val="o"/>
      <w:lvlJc w:val="left"/>
      <w:pPr>
        <w:ind w:left="3901" w:hanging="360"/>
      </w:pPr>
      <w:rPr>
        <w:rFonts w:ascii="Courier New" w:hAnsi="Courier New" w:cs="Courier New" w:hint="default"/>
      </w:rPr>
    </w:lvl>
    <w:lvl w:ilvl="5" w:tplc="08180005">
      <w:start w:val="1"/>
      <w:numFmt w:val="bullet"/>
      <w:lvlText w:val=""/>
      <w:lvlJc w:val="left"/>
      <w:pPr>
        <w:ind w:left="4621" w:hanging="360"/>
      </w:pPr>
      <w:rPr>
        <w:rFonts w:ascii="Wingdings" w:hAnsi="Wingdings" w:hint="default"/>
      </w:rPr>
    </w:lvl>
    <w:lvl w:ilvl="6" w:tplc="08180001">
      <w:start w:val="1"/>
      <w:numFmt w:val="bullet"/>
      <w:lvlText w:val=""/>
      <w:lvlJc w:val="left"/>
      <w:pPr>
        <w:ind w:left="5341" w:hanging="360"/>
      </w:pPr>
      <w:rPr>
        <w:rFonts w:ascii="Symbol" w:hAnsi="Symbol" w:hint="default"/>
      </w:rPr>
    </w:lvl>
    <w:lvl w:ilvl="7" w:tplc="08180003">
      <w:start w:val="1"/>
      <w:numFmt w:val="bullet"/>
      <w:lvlText w:val="o"/>
      <w:lvlJc w:val="left"/>
      <w:pPr>
        <w:ind w:left="6061" w:hanging="360"/>
      </w:pPr>
      <w:rPr>
        <w:rFonts w:ascii="Courier New" w:hAnsi="Courier New" w:cs="Courier New" w:hint="default"/>
      </w:rPr>
    </w:lvl>
    <w:lvl w:ilvl="8" w:tplc="08180005">
      <w:start w:val="1"/>
      <w:numFmt w:val="bullet"/>
      <w:lvlText w:val=""/>
      <w:lvlJc w:val="left"/>
      <w:pPr>
        <w:ind w:left="6781" w:hanging="360"/>
      </w:pPr>
      <w:rPr>
        <w:rFonts w:ascii="Wingdings" w:hAnsi="Wingdings" w:hint="default"/>
      </w:rPr>
    </w:lvl>
  </w:abstractNum>
  <w:abstractNum w:abstractNumId="15" w15:restartNumberingAfterBreak="0">
    <w:nsid w:val="55752BF2"/>
    <w:multiLevelType w:val="multilevel"/>
    <w:tmpl w:val="3E52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3746E"/>
    <w:multiLevelType w:val="hybridMultilevel"/>
    <w:tmpl w:val="EEA4CE4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5A5541EE"/>
    <w:multiLevelType w:val="multilevel"/>
    <w:tmpl w:val="1DE8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63333"/>
    <w:multiLevelType w:val="hybridMultilevel"/>
    <w:tmpl w:val="E98EA3B4"/>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9" w15:restartNumberingAfterBreak="0">
    <w:nsid w:val="62E773A5"/>
    <w:multiLevelType w:val="multilevel"/>
    <w:tmpl w:val="B838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1170B"/>
    <w:multiLevelType w:val="hybridMultilevel"/>
    <w:tmpl w:val="5BE83A9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70454EBB"/>
    <w:multiLevelType w:val="multilevel"/>
    <w:tmpl w:val="1F487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EF2C64"/>
    <w:multiLevelType w:val="multilevel"/>
    <w:tmpl w:val="6BB0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306503">
    <w:abstractNumId w:val="19"/>
  </w:num>
  <w:num w:numId="2" w16cid:durableId="931553257">
    <w:abstractNumId w:val="7"/>
  </w:num>
  <w:num w:numId="3" w16cid:durableId="985166006">
    <w:abstractNumId w:val="8"/>
  </w:num>
  <w:num w:numId="4" w16cid:durableId="1439638631">
    <w:abstractNumId w:val="15"/>
  </w:num>
  <w:num w:numId="5" w16cid:durableId="724572968">
    <w:abstractNumId w:val="10"/>
  </w:num>
  <w:num w:numId="6" w16cid:durableId="401342565">
    <w:abstractNumId w:val="22"/>
  </w:num>
  <w:num w:numId="7" w16cid:durableId="971136630">
    <w:abstractNumId w:val="17"/>
  </w:num>
  <w:num w:numId="8" w16cid:durableId="204680360">
    <w:abstractNumId w:val="4"/>
  </w:num>
  <w:num w:numId="9" w16cid:durableId="1870340594">
    <w:abstractNumId w:val="14"/>
  </w:num>
  <w:num w:numId="10" w16cid:durableId="1470391390">
    <w:abstractNumId w:val="12"/>
  </w:num>
  <w:num w:numId="11" w16cid:durableId="814564588">
    <w:abstractNumId w:val="5"/>
  </w:num>
  <w:num w:numId="12" w16cid:durableId="882447774">
    <w:abstractNumId w:val="13"/>
  </w:num>
  <w:num w:numId="13" w16cid:durableId="1826316461">
    <w:abstractNumId w:val="21"/>
  </w:num>
  <w:num w:numId="14" w16cid:durableId="1908610452">
    <w:abstractNumId w:val="1"/>
  </w:num>
  <w:num w:numId="15" w16cid:durableId="609171088">
    <w:abstractNumId w:val="0"/>
  </w:num>
  <w:num w:numId="16" w16cid:durableId="1668249453">
    <w:abstractNumId w:val="20"/>
  </w:num>
  <w:num w:numId="17" w16cid:durableId="2023046113">
    <w:abstractNumId w:val="16"/>
  </w:num>
  <w:num w:numId="18" w16cid:durableId="1188368268">
    <w:abstractNumId w:val="2"/>
  </w:num>
  <w:num w:numId="19" w16cid:durableId="2073429923">
    <w:abstractNumId w:val="9"/>
  </w:num>
  <w:num w:numId="20" w16cid:durableId="354573940">
    <w:abstractNumId w:val="18"/>
  </w:num>
  <w:num w:numId="21" w16cid:durableId="190530786">
    <w:abstractNumId w:val="11"/>
  </w:num>
  <w:num w:numId="22" w16cid:durableId="1543517143">
    <w:abstractNumId w:val="6"/>
  </w:num>
  <w:num w:numId="23" w16cid:durableId="1808551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1B"/>
    <w:rsid w:val="000C362F"/>
    <w:rsid w:val="00142F49"/>
    <w:rsid w:val="00197C78"/>
    <w:rsid w:val="001A6CFA"/>
    <w:rsid w:val="00306926"/>
    <w:rsid w:val="0031797A"/>
    <w:rsid w:val="00320AD8"/>
    <w:rsid w:val="004E3A2E"/>
    <w:rsid w:val="00547D5B"/>
    <w:rsid w:val="00592C7F"/>
    <w:rsid w:val="00627C7B"/>
    <w:rsid w:val="006B1780"/>
    <w:rsid w:val="006B242B"/>
    <w:rsid w:val="006F7B47"/>
    <w:rsid w:val="00821D9C"/>
    <w:rsid w:val="008479E1"/>
    <w:rsid w:val="009A17F7"/>
    <w:rsid w:val="009F0C6D"/>
    <w:rsid w:val="00A24376"/>
    <w:rsid w:val="00AD0DD9"/>
    <w:rsid w:val="00C8781B"/>
    <w:rsid w:val="00C96352"/>
    <w:rsid w:val="00CC658B"/>
    <w:rsid w:val="00D01416"/>
    <w:rsid w:val="00D821B9"/>
    <w:rsid w:val="00E02947"/>
    <w:rsid w:val="00E04B2E"/>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2EA2"/>
  <w15:chartTrackingRefBased/>
  <w15:docId w15:val="{F0863286-69B6-4D44-BD19-ADA86D7E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8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78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78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78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78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7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8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78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78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78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78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7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81B"/>
    <w:rPr>
      <w:rFonts w:eastAsiaTheme="majorEastAsia" w:cstheme="majorBidi"/>
      <w:color w:val="272727" w:themeColor="text1" w:themeTint="D8"/>
    </w:rPr>
  </w:style>
  <w:style w:type="paragraph" w:styleId="Title">
    <w:name w:val="Title"/>
    <w:basedOn w:val="Normal"/>
    <w:next w:val="Normal"/>
    <w:link w:val="TitleChar"/>
    <w:uiPriority w:val="10"/>
    <w:qFormat/>
    <w:rsid w:val="00C87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81B"/>
    <w:pPr>
      <w:spacing w:before="160"/>
      <w:jc w:val="center"/>
    </w:pPr>
    <w:rPr>
      <w:i/>
      <w:iCs/>
      <w:color w:val="404040" w:themeColor="text1" w:themeTint="BF"/>
    </w:rPr>
  </w:style>
  <w:style w:type="character" w:customStyle="1" w:styleId="QuoteChar">
    <w:name w:val="Quote Char"/>
    <w:basedOn w:val="DefaultParagraphFont"/>
    <w:link w:val="Quote"/>
    <w:uiPriority w:val="29"/>
    <w:rsid w:val="00C8781B"/>
    <w:rPr>
      <w:i/>
      <w:iCs/>
      <w:color w:val="404040" w:themeColor="text1" w:themeTint="BF"/>
    </w:rPr>
  </w:style>
  <w:style w:type="paragraph" w:styleId="ListParagraph">
    <w:name w:val="List Paragraph"/>
    <w:basedOn w:val="Normal"/>
    <w:uiPriority w:val="34"/>
    <w:qFormat/>
    <w:rsid w:val="00C8781B"/>
    <w:pPr>
      <w:ind w:left="720"/>
      <w:contextualSpacing/>
    </w:pPr>
  </w:style>
  <w:style w:type="character" w:styleId="IntenseEmphasis">
    <w:name w:val="Intense Emphasis"/>
    <w:basedOn w:val="DefaultParagraphFont"/>
    <w:uiPriority w:val="21"/>
    <w:qFormat/>
    <w:rsid w:val="00C8781B"/>
    <w:rPr>
      <w:i/>
      <w:iCs/>
      <w:color w:val="2F5496" w:themeColor="accent1" w:themeShade="BF"/>
    </w:rPr>
  </w:style>
  <w:style w:type="paragraph" w:styleId="IntenseQuote">
    <w:name w:val="Intense Quote"/>
    <w:basedOn w:val="Normal"/>
    <w:next w:val="Normal"/>
    <w:link w:val="IntenseQuoteChar"/>
    <w:uiPriority w:val="30"/>
    <w:qFormat/>
    <w:rsid w:val="00C87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781B"/>
    <w:rPr>
      <w:i/>
      <w:iCs/>
      <w:color w:val="2F5496" w:themeColor="accent1" w:themeShade="BF"/>
    </w:rPr>
  </w:style>
  <w:style w:type="character" w:styleId="IntenseReference">
    <w:name w:val="Intense Reference"/>
    <w:basedOn w:val="DefaultParagraphFont"/>
    <w:uiPriority w:val="32"/>
    <w:qFormat/>
    <w:rsid w:val="00C8781B"/>
    <w:rPr>
      <w:b/>
      <w:bCs/>
      <w:smallCaps/>
      <w:color w:val="2F5496" w:themeColor="accent1" w:themeShade="BF"/>
      <w:spacing w:val="5"/>
    </w:rPr>
  </w:style>
  <w:style w:type="paragraph" w:customStyle="1" w:styleId="ListParagraph1">
    <w:name w:val="List Paragraph1"/>
    <w:basedOn w:val="Normal"/>
    <w:uiPriority w:val="34"/>
    <w:qFormat/>
    <w:rsid w:val="00D821B9"/>
    <w:pPr>
      <w:spacing w:line="256" w:lineRule="auto"/>
      <w:ind w:left="720"/>
      <w:contextualSpacing/>
    </w:pPr>
    <w:rPr>
      <w:rFonts w:ascii="Calibri" w:eastAsia="Calibri" w:hAnsi="Calibri" w:cs="Times New Roman"/>
      <w:kern w:val="0"/>
      <w:sz w:val="22"/>
      <w:szCs w:val="22"/>
      <w:lang w:val="ro-RO" w:eastAsia="ru-RU"/>
      <w14:ligatures w14:val="none"/>
    </w:rPr>
  </w:style>
  <w:style w:type="paragraph" w:styleId="NormalWeb">
    <w:name w:val="Normal (Web)"/>
    <w:basedOn w:val="Normal"/>
    <w:uiPriority w:val="99"/>
    <w:unhideWhenUsed/>
    <w:rsid w:val="00627C7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7C7B"/>
    <w:rPr>
      <w:b/>
      <w:bCs/>
    </w:rPr>
  </w:style>
  <w:style w:type="character" w:styleId="Emphasis">
    <w:name w:val="Emphasis"/>
    <w:basedOn w:val="DefaultParagraphFont"/>
    <w:uiPriority w:val="20"/>
    <w:qFormat/>
    <w:rsid w:val="00547D5B"/>
    <w:rPr>
      <w:i/>
      <w:iCs/>
    </w:rPr>
  </w:style>
  <w:style w:type="paragraph" w:styleId="Header">
    <w:name w:val="header"/>
    <w:basedOn w:val="Normal"/>
    <w:link w:val="HeaderChar"/>
    <w:uiPriority w:val="99"/>
    <w:unhideWhenUsed/>
    <w:rsid w:val="00847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9E1"/>
  </w:style>
  <w:style w:type="paragraph" w:styleId="Footer">
    <w:name w:val="footer"/>
    <w:basedOn w:val="Normal"/>
    <w:link w:val="FooterChar"/>
    <w:uiPriority w:val="99"/>
    <w:unhideWhenUsed/>
    <w:rsid w:val="00847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81113">
      <w:bodyDiv w:val="1"/>
      <w:marLeft w:val="0"/>
      <w:marRight w:val="0"/>
      <w:marTop w:val="0"/>
      <w:marBottom w:val="0"/>
      <w:divBdr>
        <w:top w:val="none" w:sz="0" w:space="0" w:color="auto"/>
        <w:left w:val="none" w:sz="0" w:space="0" w:color="auto"/>
        <w:bottom w:val="none" w:sz="0" w:space="0" w:color="auto"/>
        <w:right w:val="none" w:sz="0" w:space="0" w:color="auto"/>
      </w:divBdr>
    </w:div>
    <w:div w:id="579026390">
      <w:bodyDiv w:val="1"/>
      <w:marLeft w:val="0"/>
      <w:marRight w:val="0"/>
      <w:marTop w:val="0"/>
      <w:marBottom w:val="0"/>
      <w:divBdr>
        <w:top w:val="none" w:sz="0" w:space="0" w:color="auto"/>
        <w:left w:val="none" w:sz="0" w:space="0" w:color="auto"/>
        <w:bottom w:val="none" w:sz="0" w:space="0" w:color="auto"/>
        <w:right w:val="none" w:sz="0" w:space="0" w:color="auto"/>
      </w:divBdr>
      <w:divsChild>
        <w:div w:id="1600987180">
          <w:marLeft w:val="0"/>
          <w:marRight w:val="0"/>
          <w:marTop w:val="0"/>
          <w:marBottom w:val="0"/>
          <w:divBdr>
            <w:top w:val="none" w:sz="0" w:space="0" w:color="auto"/>
            <w:left w:val="none" w:sz="0" w:space="0" w:color="auto"/>
            <w:bottom w:val="none" w:sz="0" w:space="0" w:color="auto"/>
            <w:right w:val="none" w:sz="0" w:space="0" w:color="auto"/>
          </w:divBdr>
          <w:divsChild>
            <w:div w:id="711612735">
              <w:marLeft w:val="0"/>
              <w:marRight w:val="0"/>
              <w:marTop w:val="0"/>
              <w:marBottom w:val="0"/>
              <w:divBdr>
                <w:top w:val="none" w:sz="0" w:space="0" w:color="auto"/>
                <w:left w:val="none" w:sz="0" w:space="0" w:color="auto"/>
                <w:bottom w:val="none" w:sz="0" w:space="0" w:color="auto"/>
                <w:right w:val="none" w:sz="0" w:space="0" w:color="auto"/>
              </w:divBdr>
              <w:divsChild>
                <w:div w:id="1433553389">
                  <w:marLeft w:val="0"/>
                  <w:marRight w:val="0"/>
                  <w:marTop w:val="0"/>
                  <w:marBottom w:val="0"/>
                  <w:divBdr>
                    <w:top w:val="none" w:sz="0" w:space="0" w:color="auto"/>
                    <w:left w:val="none" w:sz="0" w:space="0" w:color="auto"/>
                    <w:bottom w:val="none" w:sz="0" w:space="0" w:color="auto"/>
                    <w:right w:val="none" w:sz="0" w:space="0" w:color="auto"/>
                  </w:divBdr>
                  <w:divsChild>
                    <w:div w:id="768818870">
                      <w:marLeft w:val="0"/>
                      <w:marRight w:val="0"/>
                      <w:marTop w:val="0"/>
                      <w:marBottom w:val="0"/>
                      <w:divBdr>
                        <w:top w:val="none" w:sz="0" w:space="0" w:color="auto"/>
                        <w:left w:val="none" w:sz="0" w:space="0" w:color="auto"/>
                        <w:bottom w:val="none" w:sz="0" w:space="0" w:color="auto"/>
                        <w:right w:val="none" w:sz="0" w:space="0" w:color="auto"/>
                      </w:divBdr>
                      <w:divsChild>
                        <w:div w:id="2010789860">
                          <w:marLeft w:val="0"/>
                          <w:marRight w:val="0"/>
                          <w:marTop w:val="0"/>
                          <w:marBottom w:val="0"/>
                          <w:divBdr>
                            <w:top w:val="none" w:sz="0" w:space="0" w:color="auto"/>
                            <w:left w:val="none" w:sz="0" w:space="0" w:color="auto"/>
                            <w:bottom w:val="none" w:sz="0" w:space="0" w:color="auto"/>
                            <w:right w:val="none" w:sz="0" w:space="0" w:color="auto"/>
                          </w:divBdr>
                          <w:divsChild>
                            <w:div w:id="995380436">
                              <w:marLeft w:val="0"/>
                              <w:marRight w:val="0"/>
                              <w:marTop w:val="0"/>
                              <w:marBottom w:val="0"/>
                              <w:divBdr>
                                <w:top w:val="none" w:sz="0" w:space="0" w:color="auto"/>
                                <w:left w:val="none" w:sz="0" w:space="0" w:color="auto"/>
                                <w:bottom w:val="none" w:sz="0" w:space="0" w:color="auto"/>
                                <w:right w:val="none" w:sz="0" w:space="0" w:color="auto"/>
                              </w:divBdr>
                              <w:divsChild>
                                <w:div w:id="1769159736">
                                  <w:marLeft w:val="0"/>
                                  <w:marRight w:val="0"/>
                                  <w:marTop w:val="0"/>
                                  <w:marBottom w:val="0"/>
                                  <w:divBdr>
                                    <w:top w:val="none" w:sz="0" w:space="0" w:color="auto"/>
                                    <w:left w:val="none" w:sz="0" w:space="0" w:color="auto"/>
                                    <w:bottom w:val="none" w:sz="0" w:space="0" w:color="auto"/>
                                    <w:right w:val="none" w:sz="0" w:space="0" w:color="auto"/>
                                  </w:divBdr>
                                  <w:divsChild>
                                    <w:div w:id="144788078">
                                      <w:marLeft w:val="0"/>
                                      <w:marRight w:val="0"/>
                                      <w:marTop w:val="0"/>
                                      <w:marBottom w:val="0"/>
                                      <w:divBdr>
                                        <w:top w:val="none" w:sz="0" w:space="0" w:color="auto"/>
                                        <w:left w:val="none" w:sz="0" w:space="0" w:color="auto"/>
                                        <w:bottom w:val="none" w:sz="0" w:space="0" w:color="auto"/>
                                        <w:right w:val="none" w:sz="0" w:space="0" w:color="auto"/>
                                      </w:divBdr>
                                      <w:divsChild>
                                        <w:div w:id="1212159328">
                                          <w:marLeft w:val="0"/>
                                          <w:marRight w:val="0"/>
                                          <w:marTop w:val="0"/>
                                          <w:marBottom w:val="0"/>
                                          <w:divBdr>
                                            <w:top w:val="none" w:sz="0" w:space="0" w:color="auto"/>
                                            <w:left w:val="none" w:sz="0" w:space="0" w:color="auto"/>
                                            <w:bottom w:val="none" w:sz="0" w:space="0" w:color="auto"/>
                                            <w:right w:val="none" w:sz="0" w:space="0" w:color="auto"/>
                                          </w:divBdr>
                                          <w:divsChild>
                                            <w:div w:id="118106684">
                                              <w:marLeft w:val="0"/>
                                              <w:marRight w:val="0"/>
                                              <w:marTop w:val="0"/>
                                              <w:marBottom w:val="0"/>
                                              <w:divBdr>
                                                <w:top w:val="none" w:sz="0" w:space="0" w:color="auto"/>
                                                <w:left w:val="none" w:sz="0" w:space="0" w:color="auto"/>
                                                <w:bottom w:val="none" w:sz="0" w:space="0" w:color="auto"/>
                                                <w:right w:val="none" w:sz="0" w:space="0" w:color="auto"/>
                                              </w:divBdr>
                                              <w:divsChild>
                                                <w:div w:id="1337003433">
                                                  <w:marLeft w:val="0"/>
                                                  <w:marRight w:val="0"/>
                                                  <w:marTop w:val="0"/>
                                                  <w:marBottom w:val="0"/>
                                                  <w:divBdr>
                                                    <w:top w:val="none" w:sz="0" w:space="0" w:color="auto"/>
                                                    <w:left w:val="none" w:sz="0" w:space="0" w:color="auto"/>
                                                    <w:bottom w:val="none" w:sz="0" w:space="0" w:color="auto"/>
                                                    <w:right w:val="none" w:sz="0" w:space="0" w:color="auto"/>
                                                  </w:divBdr>
                                                  <w:divsChild>
                                                    <w:div w:id="1972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855469">
          <w:marLeft w:val="0"/>
          <w:marRight w:val="0"/>
          <w:marTop w:val="0"/>
          <w:marBottom w:val="0"/>
          <w:divBdr>
            <w:top w:val="none" w:sz="0" w:space="0" w:color="auto"/>
            <w:left w:val="none" w:sz="0" w:space="0" w:color="auto"/>
            <w:bottom w:val="none" w:sz="0" w:space="0" w:color="auto"/>
            <w:right w:val="none" w:sz="0" w:space="0" w:color="auto"/>
          </w:divBdr>
          <w:divsChild>
            <w:div w:id="1835872501">
              <w:marLeft w:val="0"/>
              <w:marRight w:val="0"/>
              <w:marTop w:val="0"/>
              <w:marBottom w:val="0"/>
              <w:divBdr>
                <w:top w:val="none" w:sz="0" w:space="0" w:color="auto"/>
                <w:left w:val="none" w:sz="0" w:space="0" w:color="auto"/>
                <w:bottom w:val="none" w:sz="0" w:space="0" w:color="auto"/>
                <w:right w:val="none" w:sz="0" w:space="0" w:color="auto"/>
              </w:divBdr>
              <w:divsChild>
                <w:div w:id="1081558167">
                  <w:marLeft w:val="0"/>
                  <w:marRight w:val="0"/>
                  <w:marTop w:val="0"/>
                  <w:marBottom w:val="0"/>
                  <w:divBdr>
                    <w:top w:val="none" w:sz="0" w:space="0" w:color="auto"/>
                    <w:left w:val="none" w:sz="0" w:space="0" w:color="auto"/>
                    <w:bottom w:val="none" w:sz="0" w:space="0" w:color="auto"/>
                    <w:right w:val="none" w:sz="0" w:space="0" w:color="auto"/>
                  </w:divBdr>
                  <w:divsChild>
                    <w:div w:id="622812095">
                      <w:marLeft w:val="0"/>
                      <w:marRight w:val="0"/>
                      <w:marTop w:val="0"/>
                      <w:marBottom w:val="0"/>
                      <w:divBdr>
                        <w:top w:val="none" w:sz="0" w:space="0" w:color="auto"/>
                        <w:left w:val="none" w:sz="0" w:space="0" w:color="auto"/>
                        <w:bottom w:val="none" w:sz="0" w:space="0" w:color="auto"/>
                        <w:right w:val="none" w:sz="0" w:space="0" w:color="auto"/>
                      </w:divBdr>
                      <w:divsChild>
                        <w:div w:id="1724524231">
                          <w:marLeft w:val="0"/>
                          <w:marRight w:val="0"/>
                          <w:marTop w:val="0"/>
                          <w:marBottom w:val="0"/>
                          <w:divBdr>
                            <w:top w:val="none" w:sz="0" w:space="0" w:color="auto"/>
                            <w:left w:val="none" w:sz="0" w:space="0" w:color="auto"/>
                            <w:bottom w:val="none" w:sz="0" w:space="0" w:color="auto"/>
                            <w:right w:val="none" w:sz="0" w:space="0" w:color="auto"/>
                          </w:divBdr>
                          <w:divsChild>
                            <w:div w:id="1790006981">
                              <w:marLeft w:val="0"/>
                              <w:marRight w:val="0"/>
                              <w:marTop w:val="0"/>
                              <w:marBottom w:val="0"/>
                              <w:divBdr>
                                <w:top w:val="none" w:sz="0" w:space="0" w:color="auto"/>
                                <w:left w:val="none" w:sz="0" w:space="0" w:color="auto"/>
                                <w:bottom w:val="none" w:sz="0" w:space="0" w:color="auto"/>
                                <w:right w:val="none" w:sz="0" w:space="0" w:color="auto"/>
                              </w:divBdr>
                              <w:divsChild>
                                <w:div w:id="502362009">
                                  <w:marLeft w:val="0"/>
                                  <w:marRight w:val="0"/>
                                  <w:marTop w:val="0"/>
                                  <w:marBottom w:val="0"/>
                                  <w:divBdr>
                                    <w:top w:val="none" w:sz="0" w:space="0" w:color="auto"/>
                                    <w:left w:val="none" w:sz="0" w:space="0" w:color="auto"/>
                                    <w:bottom w:val="none" w:sz="0" w:space="0" w:color="auto"/>
                                    <w:right w:val="none" w:sz="0" w:space="0" w:color="auto"/>
                                  </w:divBdr>
                                  <w:divsChild>
                                    <w:div w:id="545918187">
                                      <w:marLeft w:val="0"/>
                                      <w:marRight w:val="0"/>
                                      <w:marTop w:val="0"/>
                                      <w:marBottom w:val="0"/>
                                      <w:divBdr>
                                        <w:top w:val="none" w:sz="0" w:space="0" w:color="auto"/>
                                        <w:left w:val="none" w:sz="0" w:space="0" w:color="auto"/>
                                        <w:bottom w:val="none" w:sz="0" w:space="0" w:color="auto"/>
                                        <w:right w:val="none" w:sz="0" w:space="0" w:color="auto"/>
                                      </w:divBdr>
                                      <w:divsChild>
                                        <w:div w:id="365761411">
                                          <w:marLeft w:val="0"/>
                                          <w:marRight w:val="0"/>
                                          <w:marTop w:val="0"/>
                                          <w:marBottom w:val="0"/>
                                          <w:divBdr>
                                            <w:top w:val="none" w:sz="0" w:space="0" w:color="auto"/>
                                            <w:left w:val="none" w:sz="0" w:space="0" w:color="auto"/>
                                            <w:bottom w:val="none" w:sz="0" w:space="0" w:color="auto"/>
                                            <w:right w:val="none" w:sz="0" w:space="0" w:color="auto"/>
                                          </w:divBdr>
                                          <w:divsChild>
                                            <w:div w:id="1313372142">
                                              <w:marLeft w:val="0"/>
                                              <w:marRight w:val="0"/>
                                              <w:marTop w:val="0"/>
                                              <w:marBottom w:val="0"/>
                                              <w:divBdr>
                                                <w:top w:val="none" w:sz="0" w:space="0" w:color="auto"/>
                                                <w:left w:val="none" w:sz="0" w:space="0" w:color="auto"/>
                                                <w:bottom w:val="none" w:sz="0" w:space="0" w:color="auto"/>
                                                <w:right w:val="none" w:sz="0" w:space="0" w:color="auto"/>
                                              </w:divBdr>
                                              <w:divsChild>
                                                <w:div w:id="1665428580">
                                                  <w:marLeft w:val="0"/>
                                                  <w:marRight w:val="0"/>
                                                  <w:marTop w:val="0"/>
                                                  <w:marBottom w:val="0"/>
                                                  <w:divBdr>
                                                    <w:top w:val="none" w:sz="0" w:space="0" w:color="auto"/>
                                                    <w:left w:val="none" w:sz="0" w:space="0" w:color="auto"/>
                                                    <w:bottom w:val="none" w:sz="0" w:space="0" w:color="auto"/>
                                                    <w:right w:val="none" w:sz="0" w:space="0" w:color="auto"/>
                                                  </w:divBdr>
                                                  <w:divsChild>
                                                    <w:div w:id="241916333">
                                                      <w:marLeft w:val="0"/>
                                                      <w:marRight w:val="0"/>
                                                      <w:marTop w:val="0"/>
                                                      <w:marBottom w:val="0"/>
                                                      <w:divBdr>
                                                        <w:top w:val="none" w:sz="0" w:space="0" w:color="auto"/>
                                                        <w:left w:val="none" w:sz="0" w:space="0" w:color="auto"/>
                                                        <w:bottom w:val="none" w:sz="0" w:space="0" w:color="auto"/>
                                                        <w:right w:val="none" w:sz="0" w:space="0" w:color="auto"/>
                                                      </w:divBdr>
                                                      <w:divsChild>
                                                        <w:div w:id="369453417">
                                                          <w:marLeft w:val="0"/>
                                                          <w:marRight w:val="0"/>
                                                          <w:marTop w:val="0"/>
                                                          <w:marBottom w:val="0"/>
                                                          <w:divBdr>
                                                            <w:top w:val="none" w:sz="0" w:space="0" w:color="auto"/>
                                                            <w:left w:val="none" w:sz="0" w:space="0" w:color="auto"/>
                                                            <w:bottom w:val="none" w:sz="0" w:space="0" w:color="auto"/>
                                                            <w:right w:val="none" w:sz="0" w:space="0" w:color="auto"/>
                                                          </w:divBdr>
                                                          <w:divsChild>
                                                            <w:div w:id="988677171">
                                                              <w:marLeft w:val="0"/>
                                                              <w:marRight w:val="0"/>
                                                              <w:marTop w:val="0"/>
                                                              <w:marBottom w:val="0"/>
                                                              <w:divBdr>
                                                                <w:top w:val="none" w:sz="0" w:space="0" w:color="auto"/>
                                                                <w:left w:val="none" w:sz="0" w:space="0" w:color="auto"/>
                                                                <w:bottom w:val="none" w:sz="0" w:space="0" w:color="auto"/>
                                                                <w:right w:val="none" w:sz="0" w:space="0" w:color="auto"/>
                                                              </w:divBdr>
                                                              <w:divsChild>
                                                                <w:div w:id="9554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1489758">
      <w:bodyDiv w:val="1"/>
      <w:marLeft w:val="0"/>
      <w:marRight w:val="0"/>
      <w:marTop w:val="0"/>
      <w:marBottom w:val="0"/>
      <w:divBdr>
        <w:top w:val="none" w:sz="0" w:space="0" w:color="auto"/>
        <w:left w:val="none" w:sz="0" w:space="0" w:color="auto"/>
        <w:bottom w:val="none" w:sz="0" w:space="0" w:color="auto"/>
        <w:right w:val="none" w:sz="0" w:space="0" w:color="auto"/>
      </w:divBdr>
    </w:div>
    <w:div w:id="1480880125">
      <w:bodyDiv w:val="1"/>
      <w:marLeft w:val="0"/>
      <w:marRight w:val="0"/>
      <w:marTop w:val="0"/>
      <w:marBottom w:val="0"/>
      <w:divBdr>
        <w:top w:val="none" w:sz="0" w:space="0" w:color="auto"/>
        <w:left w:val="none" w:sz="0" w:space="0" w:color="auto"/>
        <w:bottom w:val="none" w:sz="0" w:space="0" w:color="auto"/>
        <w:right w:val="none" w:sz="0" w:space="0" w:color="auto"/>
      </w:divBdr>
    </w:div>
    <w:div w:id="14969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1160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12</cp:revision>
  <dcterms:created xsi:type="dcterms:W3CDTF">2025-06-18T12:07:00Z</dcterms:created>
  <dcterms:modified xsi:type="dcterms:W3CDTF">2025-08-21T11:38:00Z</dcterms:modified>
</cp:coreProperties>
</file>