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EBDC4" w14:textId="77777777" w:rsidR="007D42FE" w:rsidRPr="00AE3822" w:rsidRDefault="007D42FE" w:rsidP="007D42FE">
      <w:pPr>
        <w:tabs>
          <w:tab w:val="left" w:pos="4182"/>
        </w:tabs>
      </w:pPr>
    </w:p>
    <w:p w14:paraId="4EF2FC6B" w14:textId="77777777" w:rsidR="007D42FE" w:rsidRPr="00AE3822" w:rsidRDefault="007D42FE" w:rsidP="007D42FE"/>
    <w:p w14:paraId="5ACA6425" w14:textId="77777777" w:rsidR="007D42FE" w:rsidRPr="00AE3822" w:rsidRDefault="007D42FE" w:rsidP="007D42FE">
      <w:pPr>
        <w:pStyle w:val="numbered"/>
        <w:numPr>
          <w:ilvl w:val="0"/>
          <w:numId w:val="0"/>
        </w:numPr>
        <w:spacing w:line="240" w:lineRule="auto"/>
        <w:jc w:val="center"/>
      </w:pPr>
      <w:r w:rsidRPr="00AE3822">
        <w:rPr>
          <w:b/>
          <w:sz w:val="24"/>
        </w:rPr>
        <w:t>Cuprins</w:t>
      </w:r>
    </w:p>
    <w:p w14:paraId="2170C007" w14:textId="77777777" w:rsidR="007D42FE" w:rsidRPr="00CA6363" w:rsidRDefault="007D42FE" w:rsidP="007D42FE">
      <w:pPr>
        <w:pStyle w:val="11"/>
        <w:tabs>
          <w:tab w:val="right" w:leader="dot" w:pos="9627"/>
        </w:tabs>
        <w:rPr>
          <w:rFonts w:ascii="Calibri" w:hAnsi="Calibri" w:cs="Times New Roman"/>
          <w:noProof/>
          <w:sz w:val="22"/>
          <w:szCs w:val="22"/>
          <w:lang w:val="en-US" w:eastAsia="en-US"/>
        </w:rPr>
      </w:pPr>
      <w:r w:rsidRPr="00AE3822">
        <w:fldChar w:fldCharType="begin"/>
      </w:r>
      <w:r w:rsidRPr="00AE3822">
        <w:instrText xml:space="preserve"> TOC \h \z \t "Titlu-1;1" </w:instrText>
      </w:r>
      <w:r w:rsidRPr="00AE3822">
        <w:fldChar w:fldCharType="separate"/>
      </w:r>
      <w:hyperlink w:anchor="_Toc6219232" w:history="1">
        <w:r w:rsidRPr="00496678">
          <w:rPr>
            <w:rStyle w:val="af0"/>
            <w:noProof/>
          </w:rPr>
          <w:t>1. Dispoziții generale</w:t>
        </w:r>
        <w:r>
          <w:rPr>
            <w:noProof/>
            <w:webHidden/>
          </w:rPr>
          <w:tab/>
        </w:r>
        <w:r>
          <w:rPr>
            <w:noProof/>
            <w:webHidden/>
          </w:rPr>
          <w:fldChar w:fldCharType="begin"/>
        </w:r>
        <w:r>
          <w:rPr>
            <w:noProof/>
            <w:webHidden/>
          </w:rPr>
          <w:instrText xml:space="preserve"> PAGEREF _Toc6219232 \h </w:instrText>
        </w:r>
        <w:r>
          <w:rPr>
            <w:noProof/>
            <w:webHidden/>
          </w:rPr>
        </w:r>
        <w:r>
          <w:rPr>
            <w:noProof/>
            <w:webHidden/>
          </w:rPr>
          <w:fldChar w:fldCharType="separate"/>
        </w:r>
        <w:r>
          <w:rPr>
            <w:noProof/>
            <w:webHidden/>
          </w:rPr>
          <w:t>3</w:t>
        </w:r>
        <w:r>
          <w:rPr>
            <w:noProof/>
            <w:webHidden/>
          </w:rPr>
          <w:fldChar w:fldCharType="end"/>
        </w:r>
      </w:hyperlink>
    </w:p>
    <w:p w14:paraId="7D83852F" w14:textId="77777777" w:rsidR="007D42FE" w:rsidRPr="00CA6363" w:rsidRDefault="00366AEE" w:rsidP="007D42FE">
      <w:pPr>
        <w:pStyle w:val="11"/>
        <w:tabs>
          <w:tab w:val="right" w:leader="dot" w:pos="9627"/>
        </w:tabs>
        <w:rPr>
          <w:rFonts w:ascii="Calibri" w:hAnsi="Calibri" w:cs="Times New Roman"/>
          <w:noProof/>
          <w:sz w:val="22"/>
          <w:szCs w:val="22"/>
          <w:lang w:val="en-US" w:eastAsia="en-US"/>
        </w:rPr>
      </w:pPr>
      <w:hyperlink w:anchor="_Toc6219233" w:history="1">
        <w:r w:rsidR="007D42FE" w:rsidRPr="00496678">
          <w:rPr>
            <w:rStyle w:val="af0"/>
            <w:noProof/>
          </w:rPr>
          <w:t>2. Metode de efectuare a testării la stres</w:t>
        </w:r>
        <w:r w:rsidR="007D42FE">
          <w:rPr>
            <w:noProof/>
            <w:webHidden/>
          </w:rPr>
          <w:tab/>
        </w:r>
        <w:r w:rsidR="007D42FE">
          <w:rPr>
            <w:noProof/>
            <w:webHidden/>
          </w:rPr>
          <w:fldChar w:fldCharType="begin"/>
        </w:r>
        <w:r w:rsidR="007D42FE">
          <w:rPr>
            <w:noProof/>
            <w:webHidden/>
          </w:rPr>
          <w:instrText xml:space="preserve"> PAGEREF _Toc6219233 \h </w:instrText>
        </w:r>
        <w:r w:rsidR="007D42FE">
          <w:rPr>
            <w:noProof/>
            <w:webHidden/>
          </w:rPr>
        </w:r>
        <w:r w:rsidR="007D42FE">
          <w:rPr>
            <w:noProof/>
            <w:webHidden/>
          </w:rPr>
          <w:fldChar w:fldCharType="separate"/>
        </w:r>
        <w:r w:rsidR="007D42FE">
          <w:rPr>
            <w:noProof/>
            <w:webHidden/>
          </w:rPr>
          <w:t>3</w:t>
        </w:r>
        <w:r w:rsidR="007D42FE">
          <w:rPr>
            <w:noProof/>
            <w:webHidden/>
          </w:rPr>
          <w:fldChar w:fldCharType="end"/>
        </w:r>
      </w:hyperlink>
    </w:p>
    <w:p w14:paraId="39996891" w14:textId="77777777" w:rsidR="007D42FE" w:rsidRPr="00CA6363" w:rsidRDefault="00366AEE" w:rsidP="007D42FE">
      <w:pPr>
        <w:pStyle w:val="11"/>
        <w:tabs>
          <w:tab w:val="right" w:leader="dot" w:pos="9627"/>
        </w:tabs>
        <w:rPr>
          <w:rFonts w:ascii="Calibri" w:hAnsi="Calibri" w:cs="Times New Roman"/>
          <w:noProof/>
          <w:sz w:val="22"/>
          <w:szCs w:val="22"/>
          <w:lang w:val="en-US" w:eastAsia="en-US"/>
        </w:rPr>
      </w:pPr>
      <w:hyperlink w:anchor="_Toc6219234" w:history="1">
        <w:r w:rsidR="007D42FE" w:rsidRPr="00496678">
          <w:rPr>
            <w:rStyle w:val="af0"/>
            <w:noProof/>
          </w:rPr>
          <w:t>3. Principii de efectuare a simulărilor de criză</w:t>
        </w:r>
        <w:r w:rsidR="007D42FE">
          <w:rPr>
            <w:noProof/>
            <w:webHidden/>
          </w:rPr>
          <w:tab/>
        </w:r>
        <w:r w:rsidR="007D42FE">
          <w:rPr>
            <w:noProof/>
            <w:webHidden/>
          </w:rPr>
          <w:fldChar w:fldCharType="begin"/>
        </w:r>
        <w:r w:rsidR="007D42FE">
          <w:rPr>
            <w:noProof/>
            <w:webHidden/>
          </w:rPr>
          <w:instrText xml:space="preserve"> PAGEREF _Toc6219234 \h </w:instrText>
        </w:r>
        <w:r w:rsidR="007D42FE">
          <w:rPr>
            <w:noProof/>
            <w:webHidden/>
          </w:rPr>
        </w:r>
        <w:r w:rsidR="007D42FE">
          <w:rPr>
            <w:noProof/>
            <w:webHidden/>
          </w:rPr>
          <w:fldChar w:fldCharType="separate"/>
        </w:r>
        <w:r w:rsidR="007D42FE">
          <w:rPr>
            <w:noProof/>
            <w:webHidden/>
          </w:rPr>
          <w:t>7</w:t>
        </w:r>
        <w:r w:rsidR="007D42FE">
          <w:rPr>
            <w:noProof/>
            <w:webHidden/>
          </w:rPr>
          <w:fldChar w:fldCharType="end"/>
        </w:r>
      </w:hyperlink>
    </w:p>
    <w:p w14:paraId="4D4D4C54" w14:textId="77777777" w:rsidR="007D42FE" w:rsidRPr="00CA6363" w:rsidRDefault="00366AEE" w:rsidP="007D42FE">
      <w:pPr>
        <w:pStyle w:val="11"/>
        <w:tabs>
          <w:tab w:val="right" w:leader="dot" w:pos="9627"/>
        </w:tabs>
        <w:rPr>
          <w:rFonts w:ascii="Calibri" w:hAnsi="Calibri" w:cs="Times New Roman"/>
          <w:noProof/>
          <w:sz w:val="22"/>
          <w:szCs w:val="22"/>
          <w:lang w:val="en-US" w:eastAsia="en-US"/>
        </w:rPr>
      </w:pPr>
      <w:hyperlink w:anchor="_Toc6219235" w:history="1">
        <w:r w:rsidR="007D42FE" w:rsidRPr="00496678">
          <w:rPr>
            <w:rStyle w:val="af0"/>
            <w:noProof/>
          </w:rPr>
          <w:t>4. Organizarea simulărilor de criză în Bancă</w:t>
        </w:r>
        <w:r w:rsidR="007D42FE">
          <w:rPr>
            <w:noProof/>
            <w:webHidden/>
          </w:rPr>
          <w:tab/>
        </w:r>
        <w:r w:rsidR="007D42FE">
          <w:rPr>
            <w:noProof/>
            <w:webHidden/>
          </w:rPr>
          <w:fldChar w:fldCharType="begin"/>
        </w:r>
        <w:r w:rsidR="007D42FE">
          <w:rPr>
            <w:noProof/>
            <w:webHidden/>
          </w:rPr>
          <w:instrText xml:space="preserve"> PAGEREF _Toc6219235 \h </w:instrText>
        </w:r>
        <w:r w:rsidR="007D42FE">
          <w:rPr>
            <w:noProof/>
            <w:webHidden/>
          </w:rPr>
        </w:r>
        <w:r w:rsidR="007D42FE">
          <w:rPr>
            <w:noProof/>
            <w:webHidden/>
          </w:rPr>
          <w:fldChar w:fldCharType="separate"/>
        </w:r>
        <w:r w:rsidR="007D42FE">
          <w:rPr>
            <w:noProof/>
            <w:webHidden/>
          </w:rPr>
          <w:t>8</w:t>
        </w:r>
        <w:r w:rsidR="007D42FE">
          <w:rPr>
            <w:noProof/>
            <w:webHidden/>
          </w:rPr>
          <w:fldChar w:fldCharType="end"/>
        </w:r>
      </w:hyperlink>
    </w:p>
    <w:p w14:paraId="29762190" w14:textId="77777777" w:rsidR="007D42FE" w:rsidRPr="00CA6363" w:rsidRDefault="00366AEE" w:rsidP="007D42FE">
      <w:pPr>
        <w:pStyle w:val="11"/>
        <w:tabs>
          <w:tab w:val="right" w:leader="dot" w:pos="9627"/>
        </w:tabs>
        <w:rPr>
          <w:rFonts w:ascii="Calibri" w:hAnsi="Calibri" w:cs="Times New Roman"/>
          <w:noProof/>
          <w:sz w:val="22"/>
          <w:szCs w:val="22"/>
          <w:lang w:val="en-US" w:eastAsia="en-US"/>
        </w:rPr>
      </w:pPr>
      <w:hyperlink w:anchor="_Toc6219236" w:history="1">
        <w:r w:rsidR="007D42FE" w:rsidRPr="00496678">
          <w:rPr>
            <w:rStyle w:val="af0"/>
            <w:noProof/>
          </w:rPr>
          <w:t>5. Efectuarea simulărilor la criză</w:t>
        </w:r>
        <w:r w:rsidR="007D42FE">
          <w:rPr>
            <w:noProof/>
            <w:webHidden/>
          </w:rPr>
          <w:tab/>
        </w:r>
        <w:r w:rsidR="007D42FE">
          <w:rPr>
            <w:noProof/>
            <w:webHidden/>
          </w:rPr>
          <w:fldChar w:fldCharType="begin"/>
        </w:r>
        <w:r w:rsidR="007D42FE">
          <w:rPr>
            <w:noProof/>
            <w:webHidden/>
          </w:rPr>
          <w:instrText xml:space="preserve"> PAGEREF _Toc6219236 \h </w:instrText>
        </w:r>
        <w:r w:rsidR="007D42FE">
          <w:rPr>
            <w:noProof/>
            <w:webHidden/>
          </w:rPr>
        </w:r>
        <w:r w:rsidR="007D42FE">
          <w:rPr>
            <w:noProof/>
            <w:webHidden/>
          </w:rPr>
          <w:fldChar w:fldCharType="separate"/>
        </w:r>
        <w:r w:rsidR="007D42FE">
          <w:rPr>
            <w:noProof/>
            <w:webHidden/>
          </w:rPr>
          <w:t>10</w:t>
        </w:r>
        <w:r w:rsidR="007D42FE">
          <w:rPr>
            <w:noProof/>
            <w:webHidden/>
          </w:rPr>
          <w:fldChar w:fldCharType="end"/>
        </w:r>
      </w:hyperlink>
    </w:p>
    <w:p w14:paraId="33F24C22" w14:textId="77777777" w:rsidR="007D42FE" w:rsidRPr="00CA6363" w:rsidRDefault="00366AEE" w:rsidP="007D42FE">
      <w:pPr>
        <w:pStyle w:val="11"/>
        <w:tabs>
          <w:tab w:val="right" w:leader="dot" w:pos="9627"/>
        </w:tabs>
        <w:rPr>
          <w:rFonts w:ascii="Calibri" w:hAnsi="Calibri" w:cs="Times New Roman"/>
          <w:noProof/>
          <w:sz w:val="22"/>
          <w:szCs w:val="22"/>
          <w:lang w:val="en-US" w:eastAsia="en-US"/>
        </w:rPr>
      </w:pPr>
      <w:hyperlink w:anchor="_Toc6219237" w:history="1">
        <w:r w:rsidR="007D42FE" w:rsidRPr="00496678">
          <w:rPr>
            <w:rStyle w:val="af0"/>
            <w:noProof/>
          </w:rPr>
          <w:t>6. Responsabilităţile în cadrul efectuării testării la stres</w:t>
        </w:r>
        <w:r w:rsidR="007D42FE">
          <w:rPr>
            <w:noProof/>
            <w:webHidden/>
          </w:rPr>
          <w:tab/>
        </w:r>
        <w:r w:rsidR="007D42FE">
          <w:rPr>
            <w:noProof/>
            <w:webHidden/>
          </w:rPr>
          <w:fldChar w:fldCharType="begin"/>
        </w:r>
        <w:r w:rsidR="007D42FE">
          <w:rPr>
            <w:noProof/>
            <w:webHidden/>
          </w:rPr>
          <w:instrText xml:space="preserve"> PAGEREF _Toc6219237 \h </w:instrText>
        </w:r>
        <w:r w:rsidR="007D42FE">
          <w:rPr>
            <w:noProof/>
            <w:webHidden/>
          </w:rPr>
        </w:r>
        <w:r w:rsidR="007D42FE">
          <w:rPr>
            <w:noProof/>
            <w:webHidden/>
          </w:rPr>
          <w:fldChar w:fldCharType="separate"/>
        </w:r>
        <w:r w:rsidR="007D42FE">
          <w:rPr>
            <w:noProof/>
            <w:webHidden/>
          </w:rPr>
          <w:t>12</w:t>
        </w:r>
        <w:r w:rsidR="007D42FE">
          <w:rPr>
            <w:noProof/>
            <w:webHidden/>
          </w:rPr>
          <w:fldChar w:fldCharType="end"/>
        </w:r>
      </w:hyperlink>
    </w:p>
    <w:p w14:paraId="715F7E61" w14:textId="77777777" w:rsidR="007D42FE" w:rsidRPr="00CA6363" w:rsidRDefault="00366AEE" w:rsidP="007D42FE">
      <w:pPr>
        <w:pStyle w:val="11"/>
        <w:tabs>
          <w:tab w:val="right" w:leader="dot" w:pos="9627"/>
        </w:tabs>
        <w:rPr>
          <w:rFonts w:ascii="Calibri" w:hAnsi="Calibri" w:cs="Times New Roman"/>
          <w:noProof/>
          <w:sz w:val="22"/>
          <w:szCs w:val="22"/>
          <w:lang w:val="en-US" w:eastAsia="en-US"/>
        </w:rPr>
      </w:pPr>
      <w:hyperlink w:anchor="_Toc6219238" w:history="1">
        <w:r w:rsidR="007D42FE" w:rsidRPr="00496678">
          <w:rPr>
            <w:rStyle w:val="af0"/>
            <w:noProof/>
          </w:rPr>
          <w:t>7. Dispoziții finale</w:t>
        </w:r>
        <w:r w:rsidR="007D42FE">
          <w:rPr>
            <w:noProof/>
            <w:webHidden/>
          </w:rPr>
          <w:tab/>
        </w:r>
        <w:r w:rsidR="007D42FE">
          <w:rPr>
            <w:noProof/>
            <w:webHidden/>
          </w:rPr>
          <w:fldChar w:fldCharType="begin"/>
        </w:r>
        <w:r w:rsidR="007D42FE">
          <w:rPr>
            <w:noProof/>
            <w:webHidden/>
          </w:rPr>
          <w:instrText xml:space="preserve"> PAGEREF _Toc6219238 \h </w:instrText>
        </w:r>
        <w:r w:rsidR="007D42FE">
          <w:rPr>
            <w:noProof/>
            <w:webHidden/>
          </w:rPr>
        </w:r>
        <w:r w:rsidR="007D42FE">
          <w:rPr>
            <w:noProof/>
            <w:webHidden/>
          </w:rPr>
          <w:fldChar w:fldCharType="separate"/>
        </w:r>
        <w:r w:rsidR="007D42FE">
          <w:rPr>
            <w:noProof/>
            <w:webHidden/>
          </w:rPr>
          <w:t>13</w:t>
        </w:r>
        <w:r w:rsidR="007D42FE">
          <w:rPr>
            <w:noProof/>
            <w:webHidden/>
          </w:rPr>
          <w:fldChar w:fldCharType="end"/>
        </w:r>
      </w:hyperlink>
    </w:p>
    <w:p w14:paraId="77803AC2" w14:textId="77777777" w:rsidR="007D42FE" w:rsidRPr="00AE3822" w:rsidRDefault="007D42FE" w:rsidP="007D42FE">
      <w:pPr>
        <w:pStyle w:val="11"/>
        <w:tabs>
          <w:tab w:val="left" w:pos="720"/>
          <w:tab w:val="right" w:leader="dot" w:pos="9345"/>
        </w:tabs>
        <w:spacing w:line="240" w:lineRule="auto"/>
        <w:ind w:left="720" w:hanging="360"/>
      </w:pPr>
      <w:r w:rsidRPr="00AE3822">
        <w:fldChar w:fldCharType="end"/>
      </w:r>
    </w:p>
    <w:p w14:paraId="0D5B177F" w14:textId="77777777" w:rsidR="007D42FE" w:rsidRPr="00AE3822" w:rsidRDefault="007D42FE" w:rsidP="007D42FE">
      <w:pPr>
        <w:pStyle w:val="Titlu-1"/>
        <w:numPr>
          <w:ilvl w:val="0"/>
          <w:numId w:val="0"/>
        </w:numPr>
        <w:ind w:left="567"/>
        <w:jc w:val="center"/>
      </w:pPr>
      <w:r w:rsidRPr="00AE3822">
        <w:t xml:space="preserve">   </w:t>
      </w:r>
      <w:r w:rsidRPr="00AE3822">
        <w:br w:type="page"/>
      </w:r>
      <w:bookmarkStart w:id="0" w:name="_Toc6219232"/>
      <w:r w:rsidRPr="00AE3822">
        <w:rPr>
          <w:sz w:val="24"/>
        </w:rPr>
        <w:lastRenderedPageBreak/>
        <w:t>1. Dispoziții generale</w:t>
      </w:r>
      <w:bookmarkEnd w:id="0"/>
    </w:p>
    <w:p w14:paraId="7AA10FB7" w14:textId="77777777" w:rsidR="007D42FE" w:rsidRPr="00AE3822" w:rsidRDefault="007D42FE" w:rsidP="007D42FE">
      <w:pPr>
        <w:pStyle w:val="numbered"/>
        <w:numPr>
          <w:ilvl w:val="1"/>
          <w:numId w:val="1"/>
        </w:numPr>
        <w:tabs>
          <w:tab w:val="clear" w:pos="425"/>
        </w:tabs>
        <w:spacing w:line="240" w:lineRule="auto"/>
      </w:pPr>
      <w:r w:rsidRPr="00AE3822">
        <w:t>Regulamentul privind efectuarea simulărilor de criză (în continuare Regulament) a fost elaborat şi actualizat în conformitate cu următoarele acte normative: Legea privind activitatea băncilor, nr. 202 din 06.10.2017, Regulamentul privind cadrul de a</w:t>
      </w:r>
      <w:r>
        <w:t>dministrare a activităţii băncilor</w:t>
      </w:r>
      <w:r w:rsidRPr="00AE3822">
        <w:t xml:space="preserve"> nr. 322 din 20.12.2018, documentele normative interne ale B.C. „Moldindconbank” S.A. (în continuare Banca). </w:t>
      </w:r>
    </w:p>
    <w:p w14:paraId="0FE4E29C" w14:textId="77777777" w:rsidR="007D42FE" w:rsidRPr="00AE3822" w:rsidRDefault="007D42FE" w:rsidP="007D42FE">
      <w:pPr>
        <w:pStyle w:val="numbered"/>
        <w:numPr>
          <w:ilvl w:val="1"/>
          <w:numId w:val="1"/>
        </w:numPr>
        <w:tabs>
          <w:tab w:val="clear" w:pos="425"/>
        </w:tabs>
        <w:spacing w:line="240" w:lineRule="auto"/>
      </w:pPr>
      <w:r w:rsidRPr="00AE3822">
        <w:t>Scopul Regulamentului este de a reglementa simulările de criză, de a oferi ipoteze de aplicare a șocurilor, acțiuni de remediere precum și detalii metodologice ale scenariilor de stress-test aplicate în Bancă.</w:t>
      </w:r>
    </w:p>
    <w:p w14:paraId="5AD6295A" w14:textId="77777777" w:rsidR="007D42FE" w:rsidRPr="00AE3822" w:rsidRDefault="007D42FE" w:rsidP="007D42FE">
      <w:pPr>
        <w:pStyle w:val="numbered"/>
        <w:numPr>
          <w:ilvl w:val="1"/>
          <w:numId w:val="1"/>
        </w:numPr>
        <w:tabs>
          <w:tab w:val="clear" w:pos="425"/>
        </w:tabs>
        <w:spacing w:line="240" w:lineRule="auto"/>
        <w:rPr>
          <w:b/>
        </w:rPr>
      </w:pPr>
      <w:r w:rsidRPr="00AE3822">
        <w:t>Simularea de criză (stress-test) este o tehnică de administrare a riscurilor utilizată pentru evaluarea potenţialelor efecte ale unor evenimente sau modificări viitoare ale condiţiilor economice, care ar putea avea impact asupra situaţiei financiare a băncii</w:t>
      </w:r>
      <w:r>
        <w:rPr>
          <w:b/>
        </w:rPr>
        <w:t>.</w:t>
      </w:r>
      <w:r w:rsidRPr="00AE3822">
        <w:rPr>
          <w:b/>
        </w:rPr>
        <w:t xml:space="preserve"> </w:t>
      </w:r>
    </w:p>
    <w:p w14:paraId="64FD41C0" w14:textId="77777777" w:rsidR="007D42FE" w:rsidRPr="00AE3822" w:rsidRDefault="007D42FE" w:rsidP="007D42FE">
      <w:pPr>
        <w:pStyle w:val="numbered"/>
        <w:numPr>
          <w:ilvl w:val="1"/>
          <w:numId w:val="1"/>
        </w:numPr>
        <w:tabs>
          <w:tab w:val="clear" w:pos="425"/>
        </w:tabs>
        <w:spacing w:line="240" w:lineRule="auto"/>
      </w:pPr>
      <w:r w:rsidRPr="00AE3822">
        <w:t xml:space="preserve">Obiectivul </w:t>
      </w:r>
      <w:r>
        <w:t>R</w:t>
      </w:r>
      <w:r w:rsidRPr="00AE3822">
        <w:t>egulamentului constă în stabilirea metodelor de evaluare a pierderilor la care este expusă Banca în cazul producerii difer</w:t>
      </w:r>
      <w:r>
        <w:t>itor situaţii extreme</w:t>
      </w:r>
      <w:r w:rsidRPr="00AE3822">
        <w:t xml:space="preserve">, simulări de criză, inclusiv evenimente capabile de a genera pagube şi drept urmare să descopere riscurile ascunse şi interacţiunile dintre riscuri, precum și în sporirea gradului de prudenţă bancară, asigurarea primirii corecte a deciziilor de afaceri strategice de către </w:t>
      </w:r>
      <w:r>
        <w:t>organele de conducere ale Băncii şi</w:t>
      </w:r>
      <w:r w:rsidRPr="00AE3822">
        <w:t xml:space="preserve"> asigurarea viabilităţii Băncii prin următoarele:</w:t>
      </w:r>
    </w:p>
    <w:p w14:paraId="62D05DB5" w14:textId="77777777" w:rsidR="007D42FE" w:rsidRPr="00AE3822" w:rsidRDefault="007D42FE" w:rsidP="007D42FE">
      <w:pPr>
        <w:pStyle w:val="numbered"/>
        <w:numPr>
          <w:ilvl w:val="2"/>
          <w:numId w:val="1"/>
        </w:numPr>
        <w:tabs>
          <w:tab w:val="clear" w:pos="425"/>
        </w:tabs>
        <w:spacing w:line="240" w:lineRule="auto"/>
        <w:rPr>
          <w:bCs/>
        </w:rPr>
      </w:pPr>
      <w:r w:rsidRPr="00AE3822">
        <w:t>Verificarea nivelului de pregătire a  subdiviziunilor şi procedurilor interne ale Băncii pentru realizarea simulărilor de criză</w:t>
      </w:r>
      <w:r>
        <w:t>;</w:t>
      </w:r>
    </w:p>
    <w:p w14:paraId="6EA7C55D" w14:textId="77777777" w:rsidR="007D42FE" w:rsidRPr="00AE3822" w:rsidRDefault="007D42FE" w:rsidP="007D42FE">
      <w:pPr>
        <w:pStyle w:val="numbered"/>
        <w:numPr>
          <w:ilvl w:val="2"/>
          <w:numId w:val="1"/>
        </w:numPr>
        <w:tabs>
          <w:tab w:val="clear" w:pos="425"/>
        </w:tabs>
        <w:spacing w:line="240" w:lineRule="auto"/>
      </w:pPr>
      <w:r w:rsidRPr="00AE3822">
        <w:t>Evaluarea cantitativă a consecinţelor unor evenimente extreme, inclusiv a pierderilor excepţionale verosimile la care se expune Banca, determinarea profilului de risc al Băncii şi a capacităţii fondurilor proprii ale Băncii de a absorbi aceste pierderi excepţionale</w:t>
      </w:r>
      <w:r>
        <w:t>;</w:t>
      </w:r>
    </w:p>
    <w:p w14:paraId="354B6E1B" w14:textId="77777777" w:rsidR="007D42FE" w:rsidRPr="00AE3822" w:rsidRDefault="007D42FE" w:rsidP="007D42FE">
      <w:pPr>
        <w:pStyle w:val="numbered"/>
        <w:numPr>
          <w:ilvl w:val="2"/>
          <w:numId w:val="1"/>
        </w:numPr>
        <w:tabs>
          <w:tab w:val="clear" w:pos="425"/>
        </w:tabs>
        <w:spacing w:line="240" w:lineRule="auto"/>
      </w:pPr>
      <w:r w:rsidRPr="00AE3822">
        <w:t>Identificarea expunerii Băncii la evenimentele excepţionale (factorii de risc) care au fost definite ca importante (semnificative) şi estimarea pierderilor excepţionale ale Băncii în cazul apariţiei evenimentelor macroeconomice adverse</w:t>
      </w:r>
      <w:r>
        <w:t>;</w:t>
      </w:r>
    </w:p>
    <w:p w14:paraId="29CBDC40" w14:textId="77777777" w:rsidR="007D42FE" w:rsidRPr="00AE3822" w:rsidRDefault="007D42FE" w:rsidP="007D42FE">
      <w:pPr>
        <w:pStyle w:val="numbered"/>
        <w:numPr>
          <w:ilvl w:val="2"/>
          <w:numId w:val="1"/>
        </w:numPr>
        <w:tabs>
          <w:tab w:val="clear" w:pos="425"/>
        </w:tabs>
        <w:spacing w:line="240" w:lineRule="auto"/>
      </w:pPr>
      <w:r w:rsidRPr="00AE3822">
        <w:t>Prevenirea unor pierderi unice (de o singură dată) considerabile ca mărime, care pot avea consecinţe  asupra activităţii Băncii (inclusiv prin distrugerea unor lanţuri de dependenţe de tip cauză-efect, determinând realizarea unor pierderi semnificative) prin înlăturarea verigilor slabe în sistemul de administrare a riscurilor, inclusiv prin elaborarea anticipată a strategiilor de comportare a Băncii în anumite situaţii de stres, reducerea expunerii băncii etc</w:t>
      </w:r>
      <w:r>
        <w:t>.;</w:t>
      </w:r>
    </w:p>
    <w:p w14:paraId="0CCD3FF2" w14:textId="77777777" w:rsidR="007D42FE" w:rsidRPr="00AE3822" w:rsidRDefault="007D42FE" w:rsidP="007D42FE">
      <w:pPr>
        <w:pStyle w:val="numbered"/>
        <w:numPr>
          <w:ilvl w:val="2"/>
          <w:numId w:val="1"/>
        </w:numPr>
        <w:tabs>
          <w:tab w:val="clear" w:pos="425"/>
        </w:tabs>
        <w:spacing w:line="240" w:lineRule="auto"/>
      </w:pPr>
      <w:r w:rsidRPr="00AE3822">
        <w:t>Identificarea concentrărilor existente sau potenţiale expuse riscului pentru a monitoriza şi controla concentrarea riscului</w:t>
      </w:r>
      <w:r>
        <w:t>;</w:t>
      </w:r>
    </w:p>
    <w:p w14:paraId="391ADF56" w14:textId="77777777" w:rsidR="007D42FE" w:rsidRPr="00AE3822" w:rsidRDefault="007D42FE" w:rsidP="007D42FE">
      <w:pPr>
        <w:pStyle w:val="numbered"/>
        <w:numPr>
          <w:ilvl w:val="2"/>
          <w:numId w:val="1"/>
        </w:numPr>
        <w:tabs>
          <w:tab w:val="clear" w:pos="425"/>
        </w:tabs>
        <w:spacing w:line="240" w:lineRule="auto"/>
      </w:pPr>
      <w:r w:rsidRPr="00AE3822">
        <w:t>Alocarea sau verificarea capitalului economic / limitelor la portofoliile şi direcţiile de activitate</w:t>
      </w:r>
      <w:r>
        <w:t>;</w:t>
      </w:r>
    </w:p>
    <w:p w14:paraId="56F6B777" w14:textId="77777777" w:rsidR="007D42FE" w:rsidRPr="00AE3822" w:rsidRDefault="007D42FE" w:rsidP="007D42FE">
      <w:pPr>
        <w:pStyle w:val="numbered"/>
        <w:numPr>
          <w:ilvl w:val="2"/>
          <w:numId w:val="1"/>
        </w:numPr>
        <w:tabs>
          <w:tab w:val="clear" w:pos="425"/>
        </w:tabs>
        <w:spacing w:line="240" w:lineRule="auto"/>
        <w:rPr>
          <w:bCs/>
        </w:rPr>
      </w:pPr>
      <w:r w:rsidRPr="00AE3822">
        <w:t>Elaborarea planurilor de măsuri privind gestionarea băncii în condiţii extreme şi asigurarea continuităţii activităţii Băncii în asemenea situaţii de criză</w:t>
      </w:r>
      <w:r>
        <w:t>;</w:t>
      </w:r>
    </w:p>
    <w:p w14:paraId="51E9262C" w14:textId="77777777" w:rsidR="007D42FE" w:rsidRPr="00AE3822" w:rsidRDefault="007D42FE" w:rsidP="007D42FE">
      <w:pPr>
        <w:pStyle w:val="numbered"/>
        <w:numPr>
          <w:ilvl w:val="2"/>
          <w:numId w:val="1"/>
        </w:numPr>
        <w:tabs>
          <w:tab w:val="clear" w:pos="425"/>
        </w:tabs>
        <w:spacing w:line="240" w:lineRule="auto"/>
      </w:pPr>
      <w:r w:rsidRPr="00AE3822">
        <w:t>Utilizarea simulărilor de criză în cadrul planificării afacerii, planificării capitalului şi evaluării adecvării capitalului intern.</w:t>
      </w:r>
    </w:p>
    <w:p w14:paraId="786A4CEF" w14:textId="77777777" w:rsidR="007D42FE" w:rsidRPr="00AE3822" w:rsidRDefault="007D42FE" w:rsidP="007D42FE">
      <w:pPr>
        <w:pStyle w:val="Titlu-1"/>
        <w:numPr>
          <w:ilvl w:val="0"/>
          <w:numId w:val="0"/>
        </w:numPr>
        <w:ind w:left="567"/>
        <w:jc w:val="center"/>
        <w:rPr>
          <w:sz w:val="24"/>
        </w:rPr>
      </w:pPr>
      <w:bookmarkStart w:id="1" w:name="_Toc6219233"/>
      <w:r w:rsidRPr="00AE3822">
        <w:rPr>
          <w:sz w:val="24"/>
        </w:rPr>
        <w:t>2. Metode de efectuare a testării la stres</w:t>
      </w:r>
      <w:bookmarkEnd w:id="1"/>
    </w:p>
    <w:p w14:paraId="21165CB2" w14:textId="77777777" w:rsidR="007D42FE" w:rsidRPr="00AE3822" w:rsidRDefault="007D42FE" w:rsidP="007D42FE">
      <w:pPr>
        <w:pStyle w:val="af2"/>
        <w:ind w:left="567"/>
      </w:pPr>
      <w:r w:rsidRPr="00AE3822">
        <w:t>Banca efectuează simulări de criză pentru toate tipurile de risc semnificative la care se expune, care sunt enumerate în politicile privind administrarea riscurilor semnificative.</w:t>
      </w:r>
    </w:p>
    <w:p w14:paraId="71EED37B" w14:textId="77777777" w:rsidR="007D42FE" w:rsidRPr="00AE3822" w:rsidRDefault="007D42FE" w:rsidP="007D42FE">
      <w:pPr>
        <w:pStyle w:val="af4"/>
        <w:numPr>
          <w:ilvl w:val="0"/>
          <w:numId w:val="1"/>
        </w:numPr>
        <w:tabs>
          <w:tab w:val="left" w:pos="425"/>
        </w:tabs>
        <w:rPr>
          <w:vanish/>
          <w:lang w:eastAsia="ro-RO"/>
        </w:rPr>
      </w:pPr>
    </w:p>
    <w:p w14:paraId="72340613" w14:textId="77777777" w:rsidR="007D42FE" w:rsidRPr="00AE3822" w:rsidRDefault="007D42FE" w:rsidP="007D42FE">
      <w:pPr>
        <w:pStyle w:val="numbered"/>
        <w:numPr>
          <w:ilvl w:val="1"/>
          <w:numId w:val="1"/>
        </w:numPr>
        <w:tabs>
          <w:tab w:val="clear" w:pos="425"/>
        </w:tabs>
        <w:spacing w:line="240" w:lineRule="auto"/>
        <w:rPr>
          <w:b/>
        </w:rPr>
      </w:pPr>
      <w:r w:rsidRPr="00AE3822">
        <w:rPr>
          <w:b/>
        </w:rPr>
        <w:t xml:space="preserve">Riscul reputațional </w:t>
      </w:r>
    </w:p>
    <w:p w14:paraId="50D9F26C" w14:textId="77777777" w:rsidR="007D42FE" w:rsidRPr="00AE3822" w:rsidRDefault="007D42FE" w:rsidP="007D42FE">
      <w:pPr>
        <w:pStyle w:val="numbered"/>
        <w:numPr>
          <w:ilvl w:val="0"/>
          <w:numId w:val="0"/>
        </w:numPr>
        <w:tabs>
          <w:tab w:val="clear" w:pos="425"/>
        </w:tabs>
        <w:spacing w:line="240" w:lineRule="auto"/>
        <w:ind w:left="525"/>
      </w:pPr>
      <w:r w:rsidRPr="00AE3822">
        <w:t>Riscul reputațional</w:t>
      </w:r>
      <w:r w:rsidRPr="00AE3822">
        <w:rPr>
          <w:b/>
        </w:rPr>
        <w:t xml:space="preserve"> </w:t>
      </w:r>
      <w:r w:rsidRPr="00AE3822">
        <w:t>e definit ca posibilitatea apariţiei publicităţii adverse privind practicile de afaceri ale instituţiei financiare ce poate cauza o pierdere a încrederii în integritatea instituţiei. Acest risc poate impune un pericol major instituţiilor financiare, având în vedere faptul că natura afacerii lor necesită menţinerea încrederii deponenţilor, creditorilor şi a pieţei.</w:t>
      </w:r>
    </w:p>
    <w:p w14:paraId="54360C40" w14:textId="77777777" w:rsidR="007D42FE" w:rsidRPr="00AE3822" w:rsidRDefault="007D42FE" w:rsidP="007D42FE">
      <w:pPr>
        <w:pStyle w:val="numbered"/>
        <w:numPr>
          <w:ilvl w:val="0"/>
          <w:numId w:val="0"/>
        </w:numPr>
        <w:tabs>
          <w:tab w:val="clear" w:pos="425"/>
        </w:tabs>
        <w:spacing w:line="240" w:lineRule="auto"/>
        <w:ind w:left="525"/>
      </w:pPr>
      <w:r w:rsidRPr="00AE3822">
        <w:t>Riscul reputațional este riscul actual sau viitor de afectare a profiturilor şi a fondurilor proprii sau a lichidității, determinat de percepția nefavorabilă asupra imaginii unei bănci de către contrapărți, acționari, investitori sau autorități de supraveghere.</w:t>
      </w:r>
    </w:p>
    <w:p w14:paraId="3880C61F" w14:textId="77777777" w:rsidR="007D42FE" w:rsidRPr="00AE3822" w:rsidRDefault="007D42FE" w:rsidP="007D42FE">
      <w:pPr>
        <w:pStyle w:val="numbered"/>
        <w:numPr>
          <w:ilvl w:val="0"/>
          <w:numId w:val="0"/>
        </w:numPr>
        <w:tabs>
          <w:tab w:val="clear" w:pos="425"/>
        </w:tabs>
        <w:spacing w:line="240" w:lineRule="auto"/>
        <w:ind w:left="525"/>
      </w:pPr>
      <w:r w:rsidRPr="00AE3822">
        <w:t>În cadrul simulărilor de criză, impactul riscului reputațional se cuantifică în baza unor scenarii de retragere a depozitelor, fapt care se va răsfrânge direct asupra coeficienților de lichiditate a Băncii.</w:t>
      </w:r>
    </w:p>
    <w:p w14:paraId="3F3D690E" w14:textId="77777777" w:rsidR="007D42FE" w:rsidRPr="00AE3822" w:rsidRDefault="007D42FE" w:rsidP="007D42FE">
      <w:pPr>
        <w:pStyle w:val="numbered"/>
        <w:numPr>
          <w:ilvl w:val="1"/>
          <w:numId w:val="1"/>
        </w:numPr>
        <w:tabs>
          <w:tab w:val="clear" w:pos="425"/>
        </w:tabs>
        <w:spacing w:line="240" w:lineRule="auto"/>
        <w:rPr>
          <w:b/>
        </w:rPr>
      </w:pPr>
      <w:r w:rsidRPr="00AE3822">
        <w:rPr>
          <w:b/>
        </w:rPr>
        <w:t xml:space="preserve">Riscul de credit </w:t>
      </w:r>
    </w:p>
    <w:p w14:paraId="31F4171A" w14:textId="77777777" w:rsidR="007D42FE" w:rsidRPr="00AE3822" w:rsidRDefault="007D42FE" w:rsidP="007D42FE">
      <w:pPr>
        <w:pStyle w:val="numbered"/>
        <w:numPr>
          <w:ilvl w:val="0"/>
          <w:numId w:val="0"/>
        </w:numPr>
        <w:spacing w:line="240" w:lineRule="auto"/>
        <w:ind w:left="567"/>
      </w:pPr>
      <w:r w:rsidRPr="00AE3822">
        <w:lastRenderedPageBreak/>
        <w:t xml:space="preserve">Riscul de credit reprezintă riscul actual sau viitor de afectare a profiturilor şi a fondurilor proprii ca urmare a neîndeplinirii de către contraparte a obligațiilor contractuale sau a eșecului acestuia în îndeplinirea celor stabilite. În cadrul simulărilor de criză, riscul de creditare va fi analizat prin prisma majorării probabilității de default (PD) și / sau a indicatorului de pierderi în caz de default (LGD).  </w:t>
      </w:r>
    </w:p>
    <w:p w14:paraId="7C271230" w14:textId="77777777" w:rsidR="007D42FE" w:rsidRPr="00AE3822" w:rsidRDefault="007D42FE" w:rsidP="007D42FE">
      <w:pPr>
        <w:pStyle w:val="numbered"/>
        <w:numPr>
          <w:ilvl w:val="1"/>
          <w:numId w:val="1"/>
        </w:numPr>
        <w:spacing w:line="240" w:lineRule="auto"/>
        <w:rPr>
          <w:b/>
        </w:rPr>
      </w:pPr>
      <w:r w:rsidRPr="00AE3822">
        <w:rPr>
          <w:b/>
        </w:rPr>
        <w:t>Riscul de țară / transfer</w:t>
      </w:r>
    </w:p>
    <w:p w14:paraId="01F1C22A" w14:textId="77777777" w:rsidR="007D42FE" w:rsidRPr="00AE3822" w:rsidRDefault="007D42FE" w:rsidP="007D42FE">
      <w:pPr>
        <w:pStyle w:val="af2"/>
        <w:spacing w:line="276" w:lineRule="auto"/>
        <w:ind w:left="567"/>
      </w:pPr>
      <w:r w:rsidRPr="00AE3822">
        <w:t>Riscul de țară reprezintă posibilitatea ca Banca să înregistreze pierderi financiare datorate expunerii pe care aceasta o are față de o țară și care sunt generate de evenimente economice, politice, sociale, controlate cel puțin parțial de guvernul țării respective.</w:t>
      </w:r>
    </w:p>
    <w:p w14:paraId="32B26926" w14:textId="77777777" w:rsidR="007D42FE" w:rsidRPr="00AE3822" w:rsidRDefault="007D42FE" w:rsidP="007D42FE">
      <w:pPr>
        <w:pStyle w:val="numbered"/>
        <w:numPr>
          <w:ilvl w:val="1"/>
          <w:numId w:val="1"/>
        </w:numPr>
        <w:tabs>
          <w:tab w:val="clear" w:pos="425"/>
        </w:tabs>
        <w:spacing w:line="240" w:lineRule="auto"/>
        <w:rPr>
          <w:b/>
        </w:rPr>
      </w:pPr>
      <w:r w:rsidRPr="00AE3822">
        <w:rPr>
          <w:b/>
        </w:rPr>
        <w:t>Riscul de piaţă</w:t>
      </w:r>
      <w:r w:rsidRPr="00AE3822">
        <w:t xml:space="preserve"> </w:t>
      </w:r>
    </w:p>
    <w:p w14:paraId="0178B0E0" w14:textId="77777777" w:rsidR="007D42FE" w:rsidRPr="00AE3822" w:rsidRDefault="007D42FE" w:rsidP="007D42FE">
      <w:pPr>
        <w:pStyle w:val="numbered"/>
        <w:numPr>
          <w:ilvl w:val="0"/>
          <w:numId w:val="0"/>
        </w:numPr>
        <w:tabs>
          <w:tab w:val="clear" w:pos="425"/>
        </w:tabs>
        <w:spacing w:line="240" w:lineRule="auto"/>
        <w:ind w:left="567"/>
      </w:pPr>
      <w:r w:rsidRPr="00AE3822">
        <w:t>Riscul de piață este riscul de a înregistra pierderi aferente pozițiilor din bilanț și din afara bilanțului din cauza fluctuațiilor nefavorabile pe piață ale prețurilor instrumentelor financiare și ale titlurilor de capital deținute pentru tranzacționare, ale ratelor dobânzii și ale cursului de schimb valutar;</w:t>
      </w:r>
    </w:p>
    <w:p w14:paraId="0E26323B" w14:textId="77777777" w:rsidR="007D42FE" w:rsidRPr="00AE3822" w:rsidRDefault="007D42FE" w:rsidP="007D42FE">
      <w:pPr>
        <w:pStyle w:val="numbered"/>
        <w:numPr>
          <w:ilvl w:val="0"/>
          <w:numId w:val="0"/>
        </w:numPr>
        <w:tabs>
          <w:tab w:val="clear" w:pos="425"/>
        </w:tabs>
        <w:spacing w:line="240" w:lineRule="auto"/>
        <w:ind w:left="567"/>
      </w:pPr>
      <w:r w:rsidRPr="00AE3822">
        <w:t>Riscul ratei dobânzii este riscul actual sau viitor de afectare a profiturilor și a fondurilor proprii ca urmare a unor modificări adverse ale ratelor dobânzii.</w:t>
      </w:r>
    </w:p>
    <w:p w14:paraId="6A61C564" w14:textId="77777777" w:rsidR="007D42FE" w:rsidRPr="00AE3822" w:rsidRDefault="007D42FE" w:rsidP="007D42FE">
      <w:pPr>
        <w:pStyle w:val="numbered"/>
        <w:numPr>
          <w:ilvl w:val="0"/>
          <w:numId w:val="0"/>
        </w:numPr>
        <w:tabs>
          <w:tab w:val="clear" w:pos="425"/>
        </w:tabs>
        <w:spacing w:line="240" w:lineRule="auto"/>
        <w:ind w:left="567"/>
      </w:pPr>
      <w:r w:rsidRPr="00AE3822">
        <w:t>Riscul valutar este riscul expunerii la pierderi rezultate din contractele comerciale sau din alte raporturi economice ca urmare a fluctuațiilor pe piață ale ratei de schimb valutar în perioada dintre încheierea contractului și scadența acestuia.</w:t>
      </w:r>
    </w:p>
    <w:p w14:paraId="43DE8F5E" w14:textId="77777777" w:rsidR="007D42FE" w:rsidRPr="00AE3822" w:rsidRDefault="007D42FE" w:rsidP="007D42FE">
      <w:pPr>
        <w:pStyle w:val="numbered"/>
        <w:numPr>
          <w:ilvl w:val="0"/>
          <w:numId w:val="0"/>
        </w:numPr>
        <w:tabs>
          <w:tab w:val="clear" w:pos="425"/>
        </w:tabs>
        <w:spacing w:line="240" w:lineRule="auto"/>
        <w:ind w:left="567"/>
      </w:pPr>
      <w:r w:rsidRPr="00AE3822">
        <w:t>În cadrul simulărilor de criză, riscul de piață va fi analizat prin prisma potențialelor pierderi generate de riscul ratei dobânzii asociat instrumentelor și titlurilor de creanță, aferente portofoliului de tranzacționare reglementat , riscul aferent pozițiilor de marfă, precum și riscul valutar, atât din portofoliul de tranzacționare cât și cel bancar (păstrat până la scadență în afara portofoliului de tranzacționare).</w:t>
      </w:r>
    </w:p>
    <w:p w14:paraId="4C2ED8DF" w14:textId="77777777" w:rsidR="007D42FE" w:rsidRPr="00AE3822" w:rsidRDefault="007D42FE" w:rsidP="007D42FE">
      <w:pPr>
        <w:pStyle w:val="numbered"/>
        <w:numPr>
          <w:ilvl w:val="1"/>
          <w:numId w:val="1"/>
        </w:numPr>
        <w:tabs>
          <w:tab w:val="clear" w:pos="425"/>
        </w:tabs>
        <w:spacing w:line="240" w:lineRule="auto"/>
        <w:rPr>
          <w:b/>
        </w:rPr>
      </w:pPr>
      <w:r w:rsidRPr="00AE3822">
        <w:rPr>
          <w:b/>
        </w:rPr>
        <w:t>Riscul operaţional</w:t>
      </w:r>
    </w:p>
    <w:p w14:paraId="3C42C70B" w14:textId="77777777" w:rsidR="007D42FE" w:rsidRPr="00AE3822" w:rsidRDefault="007D42FE" w:rsidP="007D42FE">
      <w:pPr>
        <w:pStyle w:val="numbered"/>
        <w:numPr>
          <w:ilvl w:val="0"/>
          <w:numId w:val="0"/>
        </w:numPr>
        <w:tabs>
          <w:tab w:val="clear" w:pos="425"/>
        </w:tabs>
        <w:spacing w:line="240" w:lineRule="auto"/>
        <w:ind w:left="525"/>
      </w:pPr>
      <w:r w:rsidRPr="00AE3822">
        <w:t>Riscul operațional este riscul actual sau viitor de afectare a profiturilor și a fondurilor proprii care rezultă din procese sau sisteme interne inadecvate sau eșuate și/sau în urma acțiunii unor persoane sau evenimente externe.</w:t>
      </w:r>
    </w:p>
    <w:p w14:paraId="68DAB747" w14:textId="77777777" w:rsidR="007D42FE" w:rsidRPr="00AE3822" w:rsidRDefault="007D42FE" w:rsidP="007D42FE">
      <w:pPr>
        <w:pStyle w:val="numbered"/>
        <w:numPr>
          <w:ilvl w:val="0"/>
          <w:numId w:val="0"/>
        </w:numPr>
        <w:tabs>
          <w:tab w:val="clear" w:pos="425"/>
        </w:tabs>
        <w:spacing w:line="240" w:lineRule="auto"/>
        <w:ind w:left="525"/>
      </w:pPr>
      <w:r w:rsidRPr="00AE3822">
        <w:t>Formarea ipotezelor în cadrul simulărilor de criză trebuie să se bazeze pe evenimente din exterior (de exemplu, deteriorarea activelor din cauza unui dezastru natural) şi pe cele interne (cum ar fi produse noi, sisteme, domenii de afaceri şi activităţile externalizate.). Analiza evenimentelor de criză implică expertize, mediul macro-economic (de exemplu, reflectarea creşterii riscului de fraudă într-o recesiune economică), alţi factori şi riscuri externe. Simulările de criză trebuie să se bazeze pe evenimente severe, dar plauzibile de risc operaţional. Evenimentele istorice şi ipotetice folosite pentru simulările de criză, trebuie să aibă o frecvenţă joasă şi o severitate dură. În cadrul simulărilor de criză a riscului operațion</w:t>
      </w:r>
      <w:r>
        <w:t>al, Banca va ține cont</w:t>
      </w:r>
      <w:r w:rsidRPr="00AE3822">
        <w:t xml:space="preserve"> de recomandările Comitetului de Supraveghere de la Basel.</w:t>
      </w:r>
    </w:p>
    <w:p w14:paraId="29B6072B" w14:textId="77777777" w:rsidR="007D42FE" w:rsidRPr="00AE3822" w:rsidRDefault="007D42FE" w:rsidP="007D42FE">
      <w:pPr>
        <w:pStyle w:val="numbered"/>
        <w:numPr>
          <w:ilvl w:val="0"/>
          <w:numId w:val="0"/>
        </w:numPr>
        <w:tabs>
          <w:tab w:val="clear" w:pos="425"/>
        </w:tabs>
        <w:spacing w:line="240" w:lineRule="auto"/>
        <w:ind w:left="525"/>
      </w:pPr>
      <w:r w:rsidRPr="00AE3822">
        <w:t>În cadrul simulărilor de criză aferente riscului operațional, vor fi analizate subcategoriile acestui – riscul de conformitate și riscul tehnologiilor informaționale, prin simulări de criză specifice fiecărei subcategorie în parte.</w:t>
      </w:r>
    </w:p>
    <w:p w14:paraId="473DD76F" w14:textId="77777777" w:rsidR="007D42FE" w:rsidRPr="00AE3822" w:rsidRDefault="007D42FE" w:rsidP="007D42FE">
      <w:pPr>
        <w:pStyle w:val="numbered"/>
        <w:numPr>
          <w:ilvl w:val="1"/>
          <w:numId w:val="1"/>
        </w:numPr>
        <w:tabs>
          <w:tab w:val="clear" w:pos="425"/>
        </w:tabs>
        <w:spacing w:line="240" w:lineRule="auto"/>
        <w:rPr>
          <w:b/>
        </w:rPr>
      </w:pPr>
      <w:r w:rsidRPr="00AE3822">
        <w:rPr>
          <w:b/>
        </w:rPr>
        <w:t xml:space="preserve">Riscul de concentrare </w:t>
      </w:r>
    </w:p>
    <w:p w14:paraId="2A7E9CDC" w14:textId="77777777" w:rsidR="007D42FE" w:rsidRPr="00AE3822" w:rsidRDefault="007D42FE" w:rsidP="007D42FE">
      <w:pPr>
        <w:pStyle w:val="numbered"/>
        <w:numPr>
          <w:ilvl w:val="0"/>
          <w:numId w:val="0"/>
        </w:numPr>
        <w:tabs>
          <w:tab w:val="clear" w:pos="425"/>
        </w:tabs>
        <w:spacing w:line="240" w:lineRule="auto"/>
        <w:ind w:left="525"/>
      </w:pPr>
      <w:r w:rsidRPr="00AE3822">
        <w:t xml:space="preserve">Riscul de concentrare este riscul rezultat din expunerile față de fiecare contraparte și/sau grupuri de persoane aflate în legătură, și/sau grupuri de persoane care activează în același sector economic, desfășoară aceeași activitate sau dețin o asociere în participație. </w:t>
      </w:r>
    </w:p>
    <w:p w14:paraId="56546E1A" w14:textId="77777777" w:rsidR="007D42FE" w:rsidRPr="00AE3822" w:rsidRDefault="007D42FE" w:rsidP="007D42FE">
      <w:pPr>
        <w:pStyle w:val="numbered"/>
        <w:numPr>
          <w:ilvl w:val="0"/>
          <w:numId w:val="0"/>
        </w:numPr>
        <w:tabs>
          <w:tab w:val="clear" w:pos="425"/>
        </w:tabs>
        <w:spacing w:line="240" w:lineRule="auto"/>
        <w:ind w:left="525"/>
        <w:rPr>
          <w:b/>
        </w:rPr>
      </w:pPr>
      <w:r w:rsidRPr="00AE3822">
        <w:t xml:space="preserve">Simulările de criză sunt un instrument-cheie în identificarea riscului de concentrare, care permite băncilor să identifice interdependenţa între expuneri care poate deveni evidentă doar în condiţii de criză, chiar dacă probabilitatea de astfel de scenarii este semnificativ redusă. Simulările de criză pot fi efectuate atât pe bază individuală pentru persoanele juridice (pentru a se ţine cont de concentrările de riscuri potenţiale specifice pentru pieţele locale), precum şi pe tipul de concentraţii care se pot materializa la nivel de grup. </w:t>
      </w:r>
    </w:p>
    <w:p w14:paraId="0010AE8C" w14:textId="77777777" w:rsidR="007D42FE" w:rsidRPr="00AE3822" w:rsidRDefault="007D42FE" w:rsidP="007D42FE">
      <w:pPr>
        <w:pStyle w:val="numbered"/>
        <w:spacing w:before="0" w:line="240" w:lineRule="auto"/>
      </w:pPr>
      <w:r w:rsidRPr="00AE3822">
        <w:t>Riscul de concentrare se referă la:</w:t>
      </w:r>
    </w:p>
    <w:p w14:paraId="1B04CED5" w14:textId="77777777" w:rsidR="007D42FE" w:rsidRPr="00AE3822" w:rsidRDefault="007D42FE" w:rsidP="007D42FE">
      <w:pPr>
        <w:pStyle w:val="numbered"/>
        <w:spacing w:before="0" w:line="240" w:lineRule="auto"/>
      </w:pPr>
      <w:r w:rsidRPr="00AE3822">
        <w:t>   </w:t>
      </w:r>
      <w:r>
        <w:t>1.</w:t>
      </w:r>
      <w:r w:rsidRPr="00AE3822">
        <w:t xml:space="preserve"> partea activă a bilanţului - inexistenţa unui sistem informaţional privind identificarea concentraţiilor de credit şi stabilirea limitei prudenţiale pentru a restricţiona expunerile instituţiilor la debitori individuali sau grupuri de debitori; </w:t>
      </w:r>
    </w:p>
    <w:p w14:paraId="227F8E09" w14:textId="77777777" w:rsidR="007D42FE" w:rsidRPr="00AE3822" w:rsidRDefault="007D42FE" w:rsidP="007D42FE">
      <w:pPr>
        <w:pStyle w:val="numbered"/>
        <w:spacing w:before="0" w:line="240" w:lineRule="auto"/>
      </w:pPr>
      <w:r w:rsidRPr="00AE3822">
        <w:tab/>
      </w:r>
      <w:r>
        <w:t xml:space="preserve">2. </w:t>
      </w:r>
      <w:r w:rsidRPr="00AE3822">
        <w:t>partea pasivelor - retragerea anticipată a fondurilor de către deponenţii majori cu consecinţe potenţial nesatisfăcătoare pentru lichiditatea instituţiei din motivul analizei inadecvate a concentrării depozitelor, caracteristicii deponenţilor, precum şi nemenţinerea relaţiilor strânse de către managerii pasivelor cu deponenţii mari.</w:t>
      </w:r>
    </w:p>
    <w:p w14:paraId="1278A96B" w14:textId="77777777" w:rsidR="007D42FE" w:rsidRPr="00014E2D" w:rsidRDefault="007D42FE" w:rsidP="007D42FE">
      <w:pPr>
        <w:pStyle w:val="numbered"/>
        <w:spacing w:before="0" w:line="276" w:lineRule="auto"/>
      </w:pPr>
      <w:r w:rsidRPr="00014E2D">
        <w:lastRenderedPageBreak/>
        <w:t xml:space="preserve">Banca va calcula capital adițional pentru riscul de concentrare utilizând </w:t>
      </w:r>
      <w:r w:rsidRPr="00014E2D">
        <w:rPr>
          <w:b/>
          <w:i/>
        </w:rPr>
        <w:t>indicele</w:t>
      </w:r>
      <w:r w:rsidRPr="00014E2D">
        <w:t xml:space="preserve"> </w:t>
      </w:r>
      <w:r w:rsidRPr="00014E2D">
        <w:rPr>
          <w:b/>
          <w:i/>
        </w:rPr>
        <w:t>Herfindahl-Hirschman (HHI).</w:t>
      </w:r>
      <w:r w:rsidRPr="00014E2D">
        <w:t xml:space="preserve"> </w:t>
      </w:r>
    </w:p>
    <w:p w14:paraId="3A081F8D" w14:textId="77777777" w:rsidR="007D42FE" w:rsidRPr="00014E2D" w:rsidRDefault="007D42FE" w:rsidP="007D42FE">
      <w:pPr>
        <w:pStyle w:val="numbered"/>
        <w:spacing w:before="0" w:line="276" w:lineRule="auto"/>
      </w:pPr>
      <w:r w:rsidRPr="00014E2D">
        <w:t xml:space="preserve">De asemenea, pentru riscul de concentrare, Banca </w:t>
      </w:r>
      <w:r>
        <w:t>ț</w:t>
      </w:r>
      <w:r w:rsidRPr="00014E2D">
        <w:t xml:space="preserve">ine cont </w:t>
      </w:r>
      <w:r>
        <w:t>ș</w:t>
      </w:r>
      <w:r w:rsidRPr="00014E2D">
        <w:t xml:space="preserve">i de limitele impuse de regulamentele BNM. </w:t>
      </w:r>
    </w:p>
    <w:p w14:paraId="64AF281B" w14:textId="77777777" w:rsidR="007D42FE" w:rsidRPr="00014E2D" w:rsidRDefault="007D42FE" w:rsidP="007D42FE">
      <w:pPr>
        <w:pStyle w:val="numbered"/>
        <w:spacing w:before="0" w:line="276" w:lineRule="auto"/>
      </w:pPr>
      <w:r w:rsidRPr="00014E2D">
        <w:t>Pentru calculul valorii HHI, Banca</w:t>
      </w:r>
      <w:r>
        <w:t xml:space="preserve"> se</w:t>
      </w:r>
      <w:r w:rsidRPr="00014E2D">
        <w:t xml:space="preserve"> poate </w:t>
      </w:r>
      <w:r>
        <w:t xml:space="preserve">ghida și poate </w:t>
      </w:r>
      <w:r w:rsidRPr="00014E2D">
        <w:t xml:space="preserve">utiliza metodologia </w:t>
      </w:r>
      <w:r>
        <w:t>Autorităț</w:t>
      </w:r>
      <w:r w:rsidRPr="00014E2D">
        <w:t>ii</w:t>
      </w:r>
      <w:r>
        <w:t xml:space="preserve"> de Reglementare Prudențială</w:t>
      </w:r>
      <w:r w:rsidRPr="00014E2D">
        <w:t xml:space="preserve"> (PRA, UK). </w:t>
      </w:r>
    </w:p>
    <w:p w14:paraId="2EA28361" w14:textId="77777777" w:rsidR="007D42FE" w:rsidRDefault="007D42FE" w:rsidP="007D42FE">
      <w:pPr>
        <w:pStyle w:val="numbered"/>
        <w:spacing w:before="0" w:line="276" w:lineRule="auto"/>
      </w:pPr>
      <w:r w:rsidRPr="00014E2D">
        <w:t xml:space="preserve">In urma acestei evaluări, </w:t>
      </w:r>
      <w:r>
        <w:t>Banca va obține cerința de capital aferentă concentrării individuale și cerința de capital aferentă concentrării la nivel de industrie / sector economic.</w:t>
      </w:r>
    </w:p>
    <w:p w14:paraId="2B96E579" w14:textId="77777777" w:rsidR="007D42FE" w:rsidRPr="00AE3822" w:rsidRDefault="007D42FE" w:rsidP="007D42FE">
      <w:pPr>
        <w:pStyle w:val="numbered"/>
        <w:numPr>
          <w:ilvl w:val="1"/>
          <w:numId w:val="1"/>
        </w:numPr>
        <w:tabs>
          <w:tab w:val="clear" w:pos="425"/>
        </w:tabs>
        <w:spacing w:line="240" w:lineRule="auto"/>
        <w:rPr>
          <w:b/>
        </w:rPr>
      </w:pPr>
      <w:r w:rsidRPr="00AE3822">
        <w:rPr>
          <w:b/>
        </w:rPr>
        <w:t xml:space="preserve">Riscul de lichiditate </w:t>
      </w:r>
    </w:p>
    <w:p w14:paraId="56EE2680" w14:textId="77777777" w:rsidR="007D42FE" w:rsidRPr="00AE3822" w:rsidRDefault="007D42FE" w:rsidP="007D42FE">
      <w:pPr>
        <w:pStyle w:val="numbered"/>
        <w:numPr>
          <w:ilvl w:val="0"/>
          <w:numId w:val="0"/>
        </w:numPr>
        <w:spacing w:line="240" w:lineRule="auto"/>
        <w:ind w:left="567"/>
      </w:pPr>
      <w:r w:rsidRPr="00AE3822">
        <w:t xml:space="preserve">Riscul de lichiditate este riscul actual sau viitor de afectare a profiturilor şi a fondurilor proprii, determinat de incapacitatea băncii de a-şi îndeplini obligațiile la scadența acestora. </w:t>
      </w:r>
    </w:p>
    <w:p w14:paraId="0947EAA6" w14:textId="77777777" w:rsidR="007D42FE" w:rsidRPr="00AE3822" w:rsidRDefault="007D42FE" w:rsidP="007D42FE">
      <w:pPr>
        <w:pStyle w:val="numbered"/>
        <w:numPr>
          <w:ilvl w:val="0"/>
          <w:numId w:val="0"/>
        </w:numPr>
        <w:spacing w:line="240" w:lineRule="auto"/>
        <w:ind w:left="567"/>
      </w:pPr>
      <w:r w:rsidRPr="00AE3822">
        <w:t>În caz de insuficiență de lichiditate față de limitele stabilite de Banca Națională a Moldovei, în cadrul simulărilor de criză va fi prognozat necesarul suplimentar de lichidități.</w:t>
      </w:r>
    </w:p>
    <w:p w14:paraId="2701963B" w14:textId="77777777" w:rsidR="007D42FE" w:rsidRPr="00B83BA0" w:rsidRDefault="007D42FE" w:rsidP="007D42FE">
      <w:pPr>
        <w:pStyle w:val="numbered"/>
        <w:numPr>
          <w:ilvl w:val="1"/>
          <w:numId w:val="1"/>
        </w:numPr>
        <w:spacing w:line="240" w:lineRule="auto"/>
        <w:rPr>
          <w:b/>
        </w:rPr>
      </w:pPr>
      <w:r w:rsidRPr="00B83BA0">
        <w:rPr>
          <w:b/>
        </w:rPr>
        <w:t xml:space="preserve"> Riscul ratei dobânzii (IRRBB) </w:t>
      </w:r>
    </w:p>
    <w:p w14:paraId="02ED2A8E" w14:textId="77777777" w:rsidR="007D42FE" w:rsidRPr="00AE3822" w:rsidRDefault="007D42FE" w:rsidP="007D42FE">
      <w:pPr>
        <w:pStyle w:val="numbered"/>
        <w:numPr>
          <w:ilvl w:val="0"/>
          <w:numId w:val="0"/>
        </w:numPr>
        <w:spacing w:line="276" w:lineRule="auto"/>
        <w:ind w:left="567"/>
      </w:pPr>
      <w:r w:rsidRPr="00AE3822">
        <w:t xml:space="preserve">Riscul </w:t>
      </w:r>
      <w:r w:rsidRPr="00AE3822">
        <w:rPr>
          <w:bCs/>
        </w:rPr>
        <w:t>ratei dobânzii</w:t>
      </w:r>
      <w:r w:rsidRPr="00AE3822">
        <w:t xml:space="preserve"> este riscul înrăutățirii situației financiare a Băncii în legătură cu diminuarea nefavorabilă a ratelor dobânzii. Riscul </w:t>
      </w:r>
      <w:r w:rsidRPr="00AE3822">
        <w:rPr>
          <w:bCs/>
        </w:rPr>
        <w:t xml:space="preserve">ratei dobânzii este aferent </w:t>
      </w:r>
      <w:r w:rsidRPr="00AE3822">
        <w:t>scadentei sumei activelor și pasivelor sensibile la modificarea ratei dobânzii.</w:t>
      </w:r>
    </w:p>
    <w:p w14:paraId="5F864A3F" w14:textId="77777777" w:rsidR="007D42FE" w:rsidRPr="00AE3822" w:rsidRDefault="007D42FE" w:rsidP="007D42FE">
      <w:pPr>
        <w:pStyle w:val="numbered"/>
        <w:numPr>
          <w:ilvl w:val="0"/>
          <w:numId w:val="0"/>
        </w:numPr>
        <w:spacing w:line="276" w:lineRule="auto"/>
        <w:ind w:left="567"/>
      </w:pPr>
      <w:r w:rsidRPr="00AE3822">
        <w:t xml:space="preserve">Principala metodă de evaluare a riscului ratei de dobândă este gestiunea decalajului dintre scadențe (GAP). </w:t>
      </w:r>
    </w:p>
    <w:p w14:paraId="3DDB49BA" w14:textId="77777777" w:rsidR="007D42FE" w:rsidRPr="00AE3822" w:rsidRDefault="007D42FE" w:rsidP="007D42FE">
      <w:pPr>
        <w:pStyle w:val="numbered"/>
        <w:numPr>
          <w:ilvl w:val="0"/>
          <w:numId w:val="0"/>
        </w:numPr>
        <w:spacing w:line="276" w:lineRule="auto"/>
        <w:ind w:left="567"/>
      </w:pPr>
      <w:r w:rsidRPr="00AE3822">
        <w:t xml:space="preserve">Metodologia de calcul a cerinței de capital adițional pentru riscul ratei de dobândă în cadrul portofoliului bancar are la bază rezultatele unei simulări de criză, conform regulamentului impus de Banca Națională a Moldovei. Această simulare de criză presupune un șoc paralel asupra ratei de dobândă de 200 puncte de bază și efectul acesteia asupra valorii economice a Băncii. </w:t>
      </w:r>
    </w:p>
    <w:p w14:paraId="20A83233" w14:textId="77777777" w:rsidR="007D42FE" w:rsidRPr="00AE3822" w:rsidRDefault="007D42FE" w:rsidP="007D42FE">
      <w:pPr>
        <w:pStyle w:val="numbered"/>
        <w:numPr>
          <w:ilvl w:val="0"/>
          <w:numId w:val="0"/>
        </w:numPr>
        <w:spacing w:line="276" w:lineRule="auto"/>
        <w:ind w:left="567"/>
      </w:pPr>
      <w:r w:rsidRPr="00AE3822">
        <w:t>Rezultatele modificării ratelor de dobândă asupra venitului net din dobânzi aferent Băncii vor fi reflectate în baza a două scenarii: Modificarea venitului net din dobânzi la o creștere cu 2% a ratelor de dobândă și Modificarea venitului net din dobânzi la o scădere cu 2% a ratelor de dobândă.</w:t>
      </w:r>
    </w:p>
    <w:p w14:paraId="6F9A88E5" w14:textId="77777777" w:rsidR="007D42FE" w:rsidRPr="00B83BA0" w:rsidRDefault="007D42FE" w:rsidP="007D42FE">
      <w:pPr>
        <w:pStyle w:val="numbered"/>
        <w:numPr>
          <w:ilvl w:val="1"/>
          <w:numId w:val="1"/>
        </w:numPr>
        <w:spacing w:line="240" w:lineRule="auto"/>
        <w:rPr>
          <w:b/>
        </w:rPr>
      </w:pPr>
      <w:r w:rsidRPr="00AE3822">
        <w:t xml:space="preserve"> </w:t>
      </w:r>
      <w:r w:rsidRPr="00B83BA0">
        <w:rPr>
          <w:b/>
        </w:rPr>
        <w:t xml:space="preserve">Riscul privind expunerile cu persoanele afiliate </w:t>
      </w:r>
    </w:p>
    <w:p w14:paraId="1682A624" w14:textId="77777777" w:rsidR="007D42FE" w:rsidRPr="00AE3822" w:rsidRDefault="007D42FE" w:rsidP="007D42FE">
      <w:pPr>
        <w:pStyle w:val="af4"/>
        <w:spacing w:line="276" w:lineRule="auto"/>
        <w:ind w:left="567"/>
      </w:pPr>
      <w:r w:rsidRPr="00AE3822">
        <w:t>Riscul</w:t>
      </w:r>
      <w:r>
        <w:t xml:space="preserve"> privind expunerile cu persoanele</w:t>
      </w:r>
      <w:r w:rsidRPr="00AE3822">
        <w:t xml:space="preserve"> afiliate va fi analizat prin prisma încadrării / depășirii de către Bancă a limitelor stabilite de Banca Națională a Moldovei pentru o persoană afiliată (10% din fondurile proprii) și pentru toate persoanele afiliate Băncii (20% din fondurile proprii).</w:t>
      </w:r>
    </w:p>
    <w:p w14:paraId="2D2C6AC0" w14:textId="77777777" w:rsidR="007D42FE" w:rsidRPr="00B83BA0" w:rsidRDefault="007D42FE" w:rsidP="007D42FE">
      <w:pPr>
        <w:pStyle w:val="numbered"/>
        <w:numPr>
          <w:ilvl w:val="1"/>
          <w:numId w:val="1"/>
        </w:numPr>
        <w:spacing w:line="240" w:lineRule="auto"/>
        <w:rPr>
          <w:b/>
        </w:rPr>
      </w:pPr>
      <w:r w:rsidRPr="00B83BA0">
        <w:rPr>
          <w:b/>
        </w:rPr>
        <w:t>Riscul strategic</w:t>
      </w:r>
    </w:p>
    <w:p w14:paraId="1C082005" w14:textId="77777777" w:rsidR="007D42FE" w:rsidRPr="00AE3822" w:rsidRDefault="007D42FE" w:rsidP="007D42FE">
      <w:pPr>
        <w:pStyle w:val="numbered"/>
        <w:numPr>
          <w:ilvl w:val="0"/>
          <w:numId w:val="0"/>
        </w:numPr>
        <w:spacing w:line="276" w:lineRule="auto"/>
        <w:ind w:left="567"/>
      </w:pPr>
      <w:r w:rsidRPr="00AE3822">
        <w:t xml:space="preserve">Riscul strategic este generat de strategia de afaceri și de obiectivele strategice ale Băncii, prin incapacitatea acesteia de a implementa corect planurile de afaceri, strategiile, prin alocarea inadecvată a resurselor și incapacitatea adaptării la schimbările din mediul de afaceri. </w:t>
      </w:r>
    </w:p>
    <w:p w14:paraId="7EC1123D" w14:textId="77777777" w:rsidR="007D42FE" w:rsidRPr="00AE3822" w:rsidRDefault="007D42FE" w:rsidP="007D42FE">
      <w:pPr>
        <w:pStyle w:val="numbered"/>
        <w:numPr>
          <w:ilvl w:val="0"/>
          <w:numId w:val="0"/>
        </w:numPr>
        <w:spacing w:line="276" w:lineRule="auto"/>
        <w:ind w:left="567"/>
      </w:pPr>
      <w:r w:rsidRPr="00AE3822">
        <w:t>Pentru evaluarea riscului strategic, Banca va analiza obiectivele strategice din anii precedenți și anume: Total venituri realizate, comparativ cu total venituri planificate și total cheltuieli realizate, comparativ cu total cheltuieli planificate. Cerința de capital va fi calculată ținând cont de înregistrările anilor în care veniturile realizate au fost mai mici decât cele planificate, iar cheltuielile realizate au fost mai mari decât cele planificate.</w:t>
      </w:r>
    </w:p>
    <w:p w14:paraId="4FE5B7BA" w14:textId="77777777" w:rsidR="007D42FE" w:rsidRPr="00AE3822" w:rsidRDefault="007D42FE" w:rsidP="007D42FE">
      <w:pPr>
        <w:pStyle w:val="numbered"/>
        <w:numPr>
          <w:ilvl w:val="0"/>
          <w:numId w:val="0"/>
        </w:numPr>
        <w:spacing w:line="240" w:lineRule="auto"/>
        <w:ind w:left="567"/>
      </w:pPr>
    </w:p>
    <w:p w14:paraId="3AC6474B" w14:textId="77777777" w:rsidR="007D42FE" w:rsidRPr="00AE3822" w:rsidRDefault="007D42FE" w:rsidP="007D42FE">
      <w:pPr>
        <w:pStyle w:val="numbered"/>
        <w:numPr>
          <w:ilvl w:val="1"/>
          <w:numId w:val="1"/>
        </w:numPr>
        <w:tabs>
          <w:tab w:val="clear" w:pos="425"/>
        </w:tabs>
        <w:spacing w:line="240" w:lineRule="auto"/>
      </w:pPr>
      <w:r w:rsidRPr="00AE3822">
        <w:t>Factor</w:t>
      </w:r>
      <w:r>
        <w:t>ii</w:t>
      </w:r>
      <w:r w:rsidRPr="00AE3822">
        <w:t xml:space="preserve"> de risc – entitatea (sursa de risc) modificările aferente căreia pot expune Banca la efecte financiare negative. Banca, după posibilitate, va estima factorii de risc în expresie cantitativă. După gradul de influenţă a Băncii asupra factorilor de risc, ei pot fi grupaţi în:</w:t>
      </w:r>
    </w:p>
    <w:p w14:paraId="63A9D139"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Factori de risc interni – modelul intern utilizat pentru estimarea riscurilor, calitatea produselor prestate şi tehnologiilor utilizate, fluxul de personal, fluxul mijloacelor băneşti, relaţiile de parteneriat cu alte instituţii financiare, sistemul de securitate internă etc.</w:t>
      </w:r>
    </w:p>
    <w:p w14:paraId="04CC74C4"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Factori de risc externi – preţurile la diferite produse (ex. resurse energetice), rata de schimb valutar, rata dobânzii, legislaţia, survenirea incapacităţii de plată a debitorilor, perturbaţiile politice etc.</w:t>
      </w:r>
    </w:p>
    <w:p w14:paraId="32A83CC0" w14:textId="77777777" w:rsidR="007D42FE" w:rsidRPr="00AE3822" w:rsidRDefault="007D42FE" w:rsidP="007D42FE">
      <w:pPr>
        <w:pStyle w:val="numbered"/>
        <w:numPr>
          <w:ilvl w:val="1"/>
          <w:numId w:val="1"/>
        </w:numPr>
        <w:tabs>
          <w:tab w:val="clear" w:pos="425"/>
        </w:tabs>
        <w:spacing w:line="240" w:lineRule="auto"/>
      </w:pPr>
      <w:bookmarkStart w:id="2" w:name="_GoBack"/>
      <w:r w:rsidRPr="00AE3822">
        <w:lastRenderedPageBreak/>
        <w:t>În cadrul simulărilor de criză Banca va atrage atenţia la următoarele tipuri de evenimente excepţionale:</w:t>
      </w:r>
    </w:p>
    <w:p w14:paraId="7B2F5867"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modificarea factorilor de risc;</w:t>
      </w:r>
    </w:p>
    <w:p w14:paraId="625F72A2"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modificarea dinamicii valorii factorilor de risc (ex. volatilitatea);</w:t>
      </w:r>
    </w:p>
    <w:p w14:paraId="02BD9D94"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modificarea corelaţiei între factorii de risc.</w:t>
      </w:r>
    </w:p>
    <w:p w14:paraId="3F52D962" w14:textId="77777777" w:rsidR="007D42FE" w:rsidRPr="00AE3822" w:rsidRDefault="007D42FE" w:rsidP="007D42FE">
      <w:pPr>
        <w:pStyle w:val="numbered"/>
        <w:numPr>
          <w:ilvl w:val="1"/>
          <w:numId w:val="1"/>
        </w:numPr>
        <w:tabs>
          <w:tab w:val="clear" w:pos="425"/>
        </w:tabs>
        <w:spacing w:line="240" w:lineRule="auto"/>
      </w:pPr>
      <w:r w:rsidRPr="00AE3822">
        <w:t>Situaţiile excepţionale (situaţii de criză), care reprezintă cazul de declanşare a unui eveniment excepţional sau a unei combinaţii a acestora, pot avea următoarele efecte:</w:t>
      </w:r>
    </w:p>
    <w:p w14:paraId="686A5B4B"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Nerespectarea planului de afacere (devierea majoră efectiv-plan);</w:t>
      </w:r>
    </w:p>
    <w:p w14:paraId="533D4328"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Dereglarea şi stoparea principalelor procese de business;</w:t>
      </w:r>
    </w:p>
    <w:p w14:paraId="7046397C"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Suportarea pierderilor materiale considerabile / profiturilor ratate (importanţa lor se determină individual în funcţie de particularităţile pierderilor / profiturilor ratate, de ex. ca cotă parte din valuta bilanţului);</w:t>
      </w:r>
    </w:p>
    <w:p w14:paraId="51182FB9"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Afectarea imaginii Băncii.</w:t>
      </w:r>
    </w:p>
    <w:p w14:paraId="27EBB8C8" w14:textId="77777777" w:rsidR="007D42FE" w:rsidRPr="00AE3822" w:rsidRDefault="007D42FE" w:rsidP="007D42FE">
      <w:pPr>
        <w:pStyle w:val="numbered"/>
        <w:numPr>
          <w:ilvl w:val="1"/>
          <w:numId w:val="1"/>
        </w:numPr>
        <w:tabs>
          <w:tab w:val="clear" w:pos="425"/>
        </w:tabs>
        <w:spacing w:line="240" w:lineRule="auto"/>
        <w:rPr>
          <w:b/>
        </w:rPr>
      </w:pPr>
      <w:r w:rsidRPr="00AE3822">
        <w:rPr>
          <w:b/>
        </w:rPr>
        <w:t>Metode de efectuare a simulărilor de criză:</w:t>
      </w:r>
    </w:p>
    <w:p w14:paraId="191C8BB4" w14:textId="77777777" w:rsidR="007D42FE" w:rsidRPr="00AE3822" w:rsidRDefault="007D42FE" w:rsidP="007D42FE">
      <w:pPr>
        <w:pStyle w:val="numbered"/>
        <w:numPr>
          <w:ilvl w:val="2"/>
          <w:numId w:val="1"/>
        </w:numPr>
        <w:tabs>
          <w:tab w:val="clear" w:pos="425"/>
        </w:tabs>
        <w:spacing w:line="240" w:lineRule="auto"/>
      </w:pPr>
      <w:r w:rsidRPr="00AE3822">
        <w:t>Analiza sensibilităţii – se analizează influenţa asupra activităţii băncii (de ex., asupra activelor) a modificării unui singur factor de risc cu condiţia că restul factorilor rămân neschimbaţi (creşterea/ diminuarea cursului de schimb valutar, creşterea/ diminuarea ratelor dobânzii, deplasarea paralelă a curbei rentabilităţii, etc.). Rezultatele analizei sensibilităţii sunt preponderent pe termen scurt, iar cauzele evenimentului excepţional nu se indică.</w:t>
      </w:r>
    </w:p>
    <w:p w14:paraId="772830F5" w14:textId="77777777" w:rsidR="007D42FE" w:rsidRPr="00AE3822" w:rsidRDefault="007D42FE" w:rsidP="007D42FE">
      <w:pPr>
        <w:pStyle w:val="numbered"/>
        <w:numPr>
          <w:ilvl w:val="2"/>
          <w:numId w:val="1"/>
        </w:numPr>
        <w:tabs>
          <w:tab w:val="clear" w:pos="425"/>
        </w:tabs>
        <w:spacing w:line="240" w:lineRule="auto"/>
      </w:pPr>
      <w:r w:rsidRPr="00AE3822">
        <w:t>Analiza de scenariu – în cadrul simulării de criză se modelează un scenariu de criză ce descrie modificarea simultană a multiplilor factori de risc (de ex. criză economică, ratele de schimb, ratele dobânzii etc.). De obicei, în cadrul simulărilor de criză este precăutată dinamica factorilor de risc doar într-o singură direcţie. Pot fi utilizate următoarele tipuri de scenarii:</w:t>
      </w:r>
    </w:p>
    <w:p w14:paraId="5BEB2C86" w14:textId="77777777" w:rsidR="007D42FE" w:rsidRPr="00AE3822" w:rsidRDefault="007D42FE" w:rsidP="007D42FE">
      <w:pPr>
        <w:pStyle w:val="numbered"/>
        <w:numPr>
          <w:ilvl w:val="0"/>
          <w:numId w:val="8"/>
        </w:numPr>
        <w:spacing w:line="240" w:lineRule="auto"/>
      </w:pPr>
      <w:r w:rsidRPr="00AE3822">
        <w:t>Scenariile istorice – se analizează consecinţele evenimentelor care au avut precedente istorice reale (calamităţi naturale, crize etc.) asupra pieţelor financiare şi activităţii băncii (de exemplu, asupra activelor). În caz de necesitate, Banca poate aplica următoarele scenarii istorice:</w:t>
      </w:r>
    </w:p>
    <w:p w14:paraId="681804E4" w14:textId="77777777" w:rsidR="007D42FE" w:rsidRPr="00AE3822" w:rsidRDefault="007D42FE" w:rsidP="007D42FE">
      <w:pPr>
        <w:pStyle w:val="numbered"/>
        <w:numPr>
          <w:ilvl w:val="1"/>
          <w:numId w:val="36"/>
        </w:numPr>
        <w:tabs>
          <w:tab w:val="clear" w:pos="1789"/>
          <w:tab w:val="num" w:pos="1418"/>
        </w:tabs>
        <w:spacing w:before="0" w:line="240" w:lineRule="auto"/>
        <w:ind w:hanging="655"/>
      </w:pPr>
      <w:r w:rsidRPr="00AE3822">
        <w:t>scenariile care nu necesită simulare;</w:t>
      </w:r>
    </w:p>
    <w:p w14:paraId="7C809476" w14:textId="77777777" w:rsidR="007D42FE" w:rsidRPr="00AE3822" w:rsidRDefault="007D42FE" w:rsidP="007D42FE">
      <w:pPr>
        <w:pStyle w:val="numbered"/>
        <w:numPr>
          <w:ilvl w:val="1"/>
          <w:numId w:val="36"/>
        </w:numPr>
        <w:tabs>
          <w:tab w:val="clear" w:pos="1789"/>
          <w:tab w:val="num" w:pos="1418"/>
        </w:tabs>
        <w:spacing w:before="0" w:line="240" w:lineRule="auto"/>
        <w:ind w:hanging="655"/>
      </w:pPr>
      <w:r w:rsidRPr="00AE3822">
        <w:t>scenariile care necesită simulare.</w:t>
      </w:r>
    </w:p>
    <w:p w14:paraId="6BCC79D0" w14:textId="77777777" w:rsidR="007D42FE" w:rsidRPr="00AE3822" w:rsidRDefault="007D42FE" w:rsidP="007D42FE">
      <w:pPr>
        <w:pStyle w:val="numbered"/>
        <w:numPr>
          <w:ilvl w:val="0"/>
          <w:numId w:val="8"/>
        </w:numPr>
        <w:tabs>
          <w:tab w:val="clear" w:pos="1069"/>
          <w:tab w:val="num" w:pos="851"/>
        </w:tabs>
        <w:spacing w:line="240" w:lineRule="auto"/>
      </w:pPr>
      <w:r w:rsidRPr="00AE3822">
        <w:t>Scenariile ipotetice – se analizează consecinţele evenimentelor ipotetice (presupunerilor verosimile), care nu au avut precedente istorice directe, ceea ce permite completarea lacunelor în experienţa istorică a Băncii. Această metodă se bazează pe experienţa managerilor. Evenimente ipotetice care pot fi utilizate pentru simulările de criză:</w:t>
      </w:r>
    </w:p>
    <w:p w14:paraId="1E69FFA6" w14:textId="77777777" w:rsidR="007D42FE" w:rsidRPr="00B83BA0" w:rsidRDefault="007D42FE" w:rsidP="007D42FE">
      <w:pPr>
        <w:pStyle w:val="numbered"/>
        <w:numPr>
          <w:ilvl w:val="1"/>
          <w:numId w:val="36"/>
        </w:numPr>
        <w:tabs>
          <w:tab w:val="clear" w:pos="1789"/>
          <w:tab w:val="num" w:pos="1418"/>
        </w:tabs>
        <w:spacing w:before="0" w:line="240" w:lineRule="auto"/>
        <w:ind w:left="1418" w:hanging="284"/>
      </w:pPr>
      <w:r w:rsidRPr="00AE3822">
        <w:t>modificarea volatilităţii de trei luni a ratei la toate dobânzile de la valorile lor predominante cu ± 2%;</w:t>
      </w:r>
    </w:p>
    <w:p w14:paraId="63814A1C" w14:textId="77777777" w:rsidR="007D42FE" w:rsidRPr="00AE3822" w:rsidRDefault="007D42FE" w:rsidP="007D42FE">
      <w:pPr>
        <w:pStyle w:val="numbered"/>
        <w:numPr>
          <w:ilvl w:val="1"/>
          <w:numId w:val="36"/>
        </w:numPr>
        <w:tabs>
          <w:tab w:val="clear" w:pos="1789"/>
          <w:tab w:val="num" w:pos="1418"/>
        </w:tabs>
        <w:spacing w:before="0" w:line="240" w:lineRule="auto"/>
        <w:ind w:left="1418" w:hanging="284"/>
      </w:pPr>
      <w:r w:rsidRPr="00AE3822">
        <w:t xml:space="preserve">modificarea volatilităţii cursurilor de schimb valutar la valutele de bază din portofoliu Băncii de la valorile lor predominante; </w:t>
      </w:r>
    </w:p>
    <w:p w14:paraId="720506F6" w14:textId="77777777" w:rsidR="007D42FE" w:rsidRPr="00AE3822" w:rsidRDefault="007D42FE" w:rsidP="007D42FE">
      <w:pPr>
        <w:pStyle w:val="numbered"/>
        <w:numPr>
          <w:ilvl w:val="1"/>
          <w:numId w:val="36"/>
        </w:numPr>
        <w:tabs>
          <w:tab w:val="clear" w:pos="1789"/>
          <w:tab w:val="num" w:pos="1418"/>
        </w:tabs>
        <w:spacing w:before="0" w:line="240" w:lineRule="auto"/>
        <w:ind w:left="1418" w:hanging="284"/>
      </w:pPr>
      <w:r w:rsidRPr="00AE3822">
        <w:t>retragerea în masă a depozitelor – 10%, 20% din deponenți sau cei mai mari 20 deponenți ai Băncii;</w:t>
      </w:r>
    </w:p>
    <w:p w14:paraId="45E8EFB2" w14:textId="77777777" w:rsidR="007D42FE" w:rsidRPr="00AE3822" w:rsidRDefault="007D42FE" w:rsidP="007D42FE">
      <w:pPr>
        <w:pStyle w:val="numbered"/>
        <w:numPr>
          <w:ilvl w:val="1"/>
          <w:numId w:val="36"/>
        </w:numPr>
        <w:tabs>
          <w:tab w:val="clear" w:pos="1789"/>
          <w:tab w:val="num" w:pos="1418"/>
        </w:tabs>
        <w:spacing w:before="0" w:line="240" w:lineRule="auto"/>
        <w:ind w:left="1418" w:hanging="284"/>
      </w:pPr>
      <w:r w:rsidRPr="00AE3822">
        <w:t>majorarea valorii probabilității de default aferente portofoliului de credite.</w:t>
      </w:r>
    </w:p>
    <w:p w14:paraId="144061E6" w14:textId="77777777" w:rsidR="007D42FE" w:rsidRPr="00AE3822" w:rsidRDefault="007D42FE" w:rsidP="007D42FE">
      <w:pPr>
        <w:pStyle w:val="numbered"/>
        <w:numPr>
          <w:ilvl w:val="0"/>
          <w:numId w:val="8"/>
        </w:numPr>
        <w:tabs>
          <w:tab w:val="clear" w:pos="1069"/>
          <w:tab w:val="num" w:pos="851"/>
        </w:tabs>
        <w:spacing w:line="240" w:lineRule="auto"/>
      </w:pPr>
      <w:r w:rsidRPr="00AE3822">
        <w:t>Scenariile pe baza modelelor VAR – se analizează influenţa unor combinări a modificărilor parametrilor de intrare a modelelor VAR, ce sunt menite să estimeze nivelul pierderilor neaşteptate.</w:t>
      </w:r>
    </w:p>
    <w:p w14:paraId="04F86D0E" w14:textId="77777777" w:rsidR="007D42FE" w:rsidRPr="00AE3822" w:rsidRDefault="007D42FE" w:rsidP="007D42FE">
      <w:pPr>
        <w:pStyle w:val="numbered"/>
        <w:numPr>
          <w:ilvl w:val="2"/>
          <w:numId w:val="1"/>
        </w:numPr>
        <w:tabs>
          <w:tab w:val="clear" w:pos="425"/>
        </w:tabs>
        <w:spacing w:line="240" w:lineRule="auto"/>
      </w:pPr>
      <w:r w:rsidRPr="00AE3822">
        <w:t xml:space="preserve">Scenariul de estimare a pierderilor maxime (worst case scenario / scenariul celui mai rău caz) – în cadrul simulărilor de criză urmează să fie analizat şi scenariul care poate să genereze cele mai mari pierderi. În calitate de scenariu catalogat „cel mai rău caz”, pe lângă scenariul de criză combinat, care presupune că Banca ar putea fi simultan supusă pierderilor generate de evenimente aferente riscului de credit, valutar, operațional şi al ratei dobânzii, Banca urmează să analizeze şi scenarii „cel mai rău caz” prin care să testeze pierderile maxime care pot fi generate de evenimente ce ţin de fiecare risc menționat în parte (de exemplu, în cazul riscului de credit: modelarea scenariului prin care ponderea creditelor neperformante depășește cu 10% cota maximă înregistrată în ultimii 10 ani). </w:t>
      </w:r>
    </w:p>
    <w:p w14:paraId="497C63EA" w14:textId="77777777" w:rsidR="007D42FE" w:rsidRPr="00AE3822" w:rsidRDefault="007D42FE" w:rsidP="007D42FE">
      <w:pPr>
        <w:pStyle w:val="numbered"/>
        <w:numPr>
          <w:ilvl w:val="1"/>
          <w:numId w:val="1"/>
        </w:numPr>
        <w:tabs>
          <w:tab w:val="clear" w:pos="425"/>
        </w:tabs>
        <w:spacing w:line="240" w:lineRule="auto"/>
      </w:pPr>
      <w:r w:rsidRPr="00AE3822">
        <w:t>Cerinţele faţă de scenariile de stres:</w:t>
      </w:r>
    </w:p>
    <w:p w14:paraId="4411D9D4"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Verosimilitate – să existe concordanţa logică a modificărilor concomitente ale factorilor de risc. În scopul măririi gradului de verosimilitate a scenariilor, Banca le va elabora bazându-se în anumită măsură pe evenimente istorice/experienţa acumulată. În cadrul testării la stres Banca va reieşi din faptul că veridicitatea scenariilor depinde preponderent de competenţa şi experienţa experţilor implicaţi în elaborarea scenariilor de stres.</w:t>
      </w:r>
    </w:p>
    <w:p w14:paraId="7BDE8157"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lastRenderedPageBreak/>
        <w:t>Corespunderea trăsăturilor specifice ale activităţii supuse simulărilor de criză;</w:t>
      </w:r>
    </w:p>
    <w:p w14:paraId="2214D2F4"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Prevederea modificărilor verosimile simultane dar neantagoniste ale factorilor de risc pe mai multe direcţii de activitate;</w:t>
      </w:r>
    </w:p>
    <w:p w14:paraId="13EDA74C"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În cadrul simulării de criză se va ţine cont de:</w:t>
      </w:r>
    </w:p>
    <w:p w14:paraId="1F37BB1E" w14:textId="77777777" w:rsidR="007D42FE" w:rsidRPr="00AE3822" w:rsidRDefault="007D42FE" w:rsidP="007D42FE">
      <w:pPr>
        <w:pStyle w:val="numbered"/>
        <w:numPr>
          <w:ilvl w:val="1"/>
          <w:numId w:val="6"/>
        </w:numPr>
        <w:spacing w:before="0" w:line="240" w:lineRule="auto"/>
      </w:pPr>
      <w:r w:rsidRPr="00AE3822">
        <w:t>consecinţele posibile ale situaţiilor de criză;</w:t>
      </w:r>
    </w:p>
    <w:p w14:paraId="381243B1" w14:textId="77777777" w:rsidR="007D42FE" w:rsidRPr="00AE3822" w:rsidRDefault="007D42FE" w:rsidP="007D42FE">
      <w:pPr>
        <w:pStyle w:val="numbered"/>
        <w:numPr>
          <w:ilvl w:val="1"/>
          <w:numId w:val="6"/>
        </w:numPr>
        <w:spacing w:before="0" w:line="240" w:lineRule="auto"/>
      </w:pPr>
      <w:r w:rsidRPr="00AE3822">
        <w:t>posibilitatea apariţiei mai multor factori de risc din diferite clase de risc.</w:t>
      </w:r>
    </w:p>
    <w:p w14:paraId="2FBBB651" w14:textId="77777777" w:rsidR="007D42FE" w:rsidRPr="00AE3822" w:rsidRDefault="007D42FE" w:rsidP="007D42FE">
      <w:pPr>
        <w:pStyle w:val="numbered"/>
        <w:numPr>
          <w:ilvl w:val="1"/>
          <w:numId w:val="6"/>
        </w:numPr>
        <w:spacing w:before="0" w:line="240" w:lineRule="auto"/>
      </w:pPr>
      <w:r w:rsidRPr="00AE3822">
        <w:t>efectul majorării nivelului de risc asumat de Bancă ca urmare a creşterii complexităţii activităţii domeniului expus la risc, sau a majorării volumului de tranzacţii.</w:t>
      </w:r>
    </w:p>
    <w:p w14:paraId="4F4E132C" w14:textId="77777777" w:rsidR="007D42FE" w:rsidRPr="00AE3822" w:rsidRDefault="007D42FE" w:rsidP="007D42FE">
      <w:pPr>
        <w:pStyle w:val="numbered"/>
        <w:numPr>
          <w:ilvl w:val="1"/>
          <w:numId w:val="1"/>
        </w:numPr>
        <w:tabs>
          <w:tab w:val="clear" w:pos="425"/>
        </w:tabs>
        <w:spacing w:line="240" w:lineRule="auto"/>
      </w:pPr>
      <w:r w:rsidRPr="00AE3822">
        <w:t>Abordările de formulare (elaborare) a scenariilor:</w:t>
      </w:r>
    </w:p>
    <w:p w14:paraId="01425F59"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 xml:space="preserve">Abordarea bazată pe portofoliu – scenariul de criză trebuie să testeze portofolii ale Băncii – spre exemplu, portofoliul de credite, portofoliul de depozite, portofoliul de active sensibile la modificările ratei dobânzii. </w:t>
      </w:r>
    </w:p>
    <w:p w14:paraId="6A507D12"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Abordarea bazată pe evenimente – scenariul se formulează reieşind din evenimentele verosimile şi influenţa acestora asupra parametrilor de risc ale portofoliilor Băncii. Aceste scenarii de obicei se vor formula la cerinţa conducerii Băncii ca urmare a apariţiei unor evenimente/informaţii recente (ex. spoirea bruscă a preţurilor la produsele petroliere).</w:t>
      </w:r>
    </w:p>
    <w:p w14:paraId="2CDB0E08" w14:textId="77777777" w:rsidR="007D42FE" w:rsidRPr="00AE3822" w:rsidRDefault="007D42FE" w:rsidP="007D42FE">
      <w:pPr>
        <w:pStyle w:val="Titlu-1"/>
        <w:numPr>
          <w:ilvl w:val="0"/>
          <w:numId w:val="0"/>
        </w:numPr>
        <w:ind w:left="567"/>
        <w:jc w:val="center"/>
        <w:rPr>
          <w:sz w:val="24"/>
        </w:rPr>
      </w:pPr>
      <w:bookmarkStart w:id="3" w:name="_Toc120097392"/>
      <w:bookmarkStart w:id="4" w:name="_Toc120097397"/>
      <w:bookmarkStart w:id="5" w:name="_Toc120097398"/>
      <w:bookmarkStart w:id="6" w:name="_Toc6219234"/>
      <w:bookmarkEnd w:id="3"/>
      <w:bookmarkEnd w:id="4"/>
      <w:bookmarkEnd w:id="5"/>
      <w:r w:rsidRPr="00AE3822">
        <w:rPr>
          <w:sz w:val="24"/>
        </w:rPr>
        <w:t>3. Principii de efectuare a simulărilor de criză</w:t>
      </w:r>
      <w:bookmarkEnd w:id="6"/>
    </w:p>
    <w:p w14:paraId="6AB61CD3" w14:textId="77777777" w:rsidR="007D42FE" w:rsidRPr="00AE3822" w:rsidRDefault="007D42FE" w:rsidP="007D42FE">
      <w:pPr>
        <w:pStyle w:val="numbered"/>
        <w:numPr>
          <w:ilvl w:val="1"/>
          <w:numId w:val="30"/>
        </w:numPr>
        <w:tabs>
          <w:tab w:val="clear" w:pos="425"/>
        </w:tabs>
        <w:spacing w:line="240" w:lineRule="auto"/>
      </w:pPr>
      <w:r w:rsidRPr="00AE3822">
        <w:t>Pentru fiecare repriză a simulărilor de criză, Departamentul riscuri bancare documentează elementele fundamentale ale exercițiului. Acestea vor include raționamentele și / sau hotărârile care stau la baza scenariilor alese și sensibilitatea rezultatelor în funcție de tipul și severitatea scenariilor. O evaluare a unor astfel de ipoteze se efectuează de către Departamentul riscuri bancare cu o periodicitate anuală.</w:t>
      </w:r>
    </w:p>
    <w:p w14:paraId="677CB546" w14:textId="77777777" w:rsidR="007D42FE" w:rsidRPr="00AE3822" w:rsidRDefault="007D42FE" w:rsidP="007D42FE">
      <w:pPr>
        <w:pStyle w:val="numbered"/>
        <w:numPr>
          <w:ilvl w:val="1"/>
          <w:numId w:val="30"/>
        </w:numPr>
        <w:tabs>
          <w:tab w:val="clear" w:pos="425"/>
        </w:tabs>
        <w:spacing w:line="240" w:lineRule="auto"/>
      </w:pPr>
      <w:r w:rsidRPr="00AE3822">
        <w:t>Banca utilizează simulările de criză în calitate de instrument de diagnostic pentru înțelegerea profilului de risc și de instrument anticipativ în cadrul procesului intern de evaluare a corespunderii fondurilor proprii la riscuri (evaluarea modului în care profiturile și/sau fondurile proprii sunt afectate de situații de criză, evaluarea riscurilor într-o manieră anticipativă). Simulările de criză sunt folosite în combinație cu alte instrumente de administrare și control al riscurilor, iar rezultatele trebuie să fie considerate în procesul de luare a deciziilor la nivelul corespunzător de management, inclusiv deciziile strategice de afaceri ale consiliului și ale organului executiv.</w:t>
      </w:r>
    </w:p>
    <w:p w14:paraId="36432A7A" w14:textId="77777777" w:rsidR="007D42FE" w:rsidRPr="00AE3822" w:rsidRDefault="007D42FE" w:rsidP="007D42FE">
      <w:pPr>
        <w:pStyle w:val="numbered"/>
        <w:numPr>
          <w:ilvl w:val="1"/>
          <w:numId w:val="30"/>
        </w:numPr>
        <w:tabs>
          <w:tab w:val="clear" w:pos="425"/>
        </w:tabs>
        <w:spacing w:line="240" w:lineRule="auto"/>
      </w:pPr>
      <w:r w:rsidRPr="00AE3822">
        <w:t>Metodologia simulărilor de criză acoperă domeniile de activitate supuse riscurilor și riscurile aferente acestora și include un spectru larg de scenarii, inclusiv scenarii anticipative (ale evenimentelor ce ar putea avea loc), cu scopul de a lua în considerare interacțiunile la nivel de bancă și sistem. În acest context, simulările de criză sunt elaborate în vederea identificării riscurilor la nivel de bancă și / sau sistem, inclusiv refluxul masiv al depozitelor, expunerile față de anumite grupuri de persoane aflate în legătură, sectoare economice, expuneri interbancare etc.</w:t>
      </w:r>
    </w:p>
    <w:p w14:paraId="49C16150" w14:textId="77777777" w:rsidR="007D42FE" w:rsidRPr="00AE3822" w:rsidRDefault="007D42FE" w:rsidP="007D42FE">
      <w:pPr>
        <w:pStyle w:val="numbered"/>
        <w:numPr>
          <w:ilvl w:val="1"/>
          <w:numId w:val="30"/>
        </w:numPr>
        <w:tabs>
          <w:tab w:val="clear" w:pos="425"/>
        </w:tabs>
        <w:spacing w:line="240" w:lineRule="auto"/>
      </w:pPr>
      <w:r w:rsidRPr="00AE3822">
        <w:t>Banca determină riscurile care pot fi supuse simulărilor de criză, efectuând analize a naturii și compoziției portofoliilor sale și a mediului în care aceasta își desfășoară activitatea. În funcție de riscurile identificate, banca stabilește factorii de risc care vor fi utilizați la simulările de criză.</w:t>
      </w:r>
    </w:p>
    <w:p w14:paraId="1ABF0F7C" w14:textId="77777777" w:rsidR="007D42FE" w:rsidRPr="00AE3822" w:rsidRDefault="007D42FE" w:rsidP="007D42FE">
      <w:pPr>
        <w:pStyle w:val="numbered"/>
        <w:numPr>
          <w:ilvl w:val="1"/>
          <w:numId w:val="30"/>
        </w:numPr>
        <w:tabs>
          <w:tab w:val="clear" w:pos="425"/>
        </w:tabs>
        <w:spacing w:line="240" w:lineRule="auto"/>
      </w:pPr>
      <w:r w:rsidRPr="00AE3822">
        <w:t>Banca va identifica punctele vulnerabile pentru testarea în condiții de criză a factorilor de risc, inclusiv de risc macro-economic, de credit, financiar, în contextul evenimentelor externe care pot afecta profitabilitatea, solvabilitatea, concentrațiile de risc neidentificate, potențialele interacțiuni între tipurile de risc care ar putea amenința viabilitatea băncii sau conformitatea cu cadrul de reglementare.</w:t>
      </w:r>
    </w:p>
    <w:p w14:paraId="2EC1BE39" w14:textId="77777777" w:rsidR="007D42FE" w:rsidRPr="00AE3822" w:rsidRDefault="007D42FE" w:rsidP="007D42FE">
      <w:pPr>
        <w:pStyle w:val="numbered"/>
        <w:numPr>
          <w:ilvl w:val="1"/>
          <w:numId w:val="30"/>
        </w:numPr>
        <w:tabs>
          <w:tab w:val="clear" w:pos="425"/>
        </w:tabs>
        <w:spacing w:line="240" w:lineRule="auto"/>
      </w:pPr>
      <w:r w:rsidRPr="00AE3822">
        <w:t xml:space="preserve">Banca trebuie să poată justifica alegerea factorilor de risc pentru simulările de criză, iar rezultatele </w:t>
      </w:r>
      <w:commentRangeStart w:id="7"/>
      <w:r w:rsidRPr="00AE3822">
        <w:t>trebuie</w:t>
      </w:r>
      <w:commentRangeEnd w:id="7"/>
      <w:r>
        <w:rPr>
          <w:rStyle w:val="a8"/>
        </w:rPr>
        <w:commentReference w:id="7"/>
      </w:r>
      <w:r w:rsidRPr="00AE3822">
        <w:t xml:space="preserve"> utilizate pentru determinarea toleranței la risc a băncii și stabilirea unor limite la expuneri în vederea fundamentării opțiunilor strategice referitor la planificarea de afaceri pe termen lung, inclusiv planificarea fondurilor proprii și a lichidităților.</w:t>
      </w:r>
    </w:p>
    <w:p w14:paraId="59AB50B2" w14:textId="77777777" w:rsidR="007D42FE" w:rsidRPr="00AE3822" w:rsidRDefault="007D42FE" w:rsidP="007D42FE">
      <w:pPr>
        <w:pStyle w:val="numbered"/>
        <w:numPr>
          <w:ilvl w:val="1"/>
          <w:numId w:val="30"/>
        </w:numPr>
        <w:tabs>
          <w:tab w:val="clear" w:pos="425"/>
        </w:tabs>
        <w:spacing w:line="240" w:lineRule="auto"/>
      </w:pPr>
      <w:r w:rsidRPr="00AE3822">
        <w:t>În cadrul simulării de criză a lichidității, Banca va prognoza necesarul de lichiditate pentru fiecare perioadă, fiecare scenariu, la fiecare nivel de stres, pentru care se determină suma cu care intrările de numerar prognozate depășesc ieșirile prognozate (sau viceversa), pornind de la cele două dimensiuni ale riscului de lichididate, de finanțare și de piață. Banca își va administra riscul individual de finanțare a lichidității, ținînd cont de posibilul impact al riscului lichidității de piață. În cazul în care riscul de lichiditate ar putea deriva din alte surse de risc, „scenariile alternative de lichiditate” vor fi efectuate în concordanță cu riscurile respective.</w:t>
      </w:r>
    </w:p>
    <w:p w14:paraId="1C439B27" w14:textId="77777777" w:rsidR="007D42FE" w:rsidRPr="00AE3822" w:rsidRDefault="007D42FE" w:rsidP="007D42FE">
      <w:pPr>
        <w:pStyle w:val="numbered"/>
        <w:numPr>
          <w:ilvl w:val="1"/>
          <w:numId w:val="30"/>
        </w:numPr>
        <w:tabs>
          <w:tab w:val="clear" w:pos="425"/>
        </w:tabs>
        <w:spacing w:line="240" w:lineRule="auto"/>
      </w:pPr>
      <w:r w:rsidRPr="00AE3822">
        <w:t xml:space="preserve">Posibilitatea reducerii volumului sau valorii garanțiilor reale și personale, în special în situaţii de criză, reducerea gradului de lichiditate a acestora, fapt ce va duce la recuperarea parţială a activelor </w:t>
      </w:r>
      <w:r w:rsidRPr="00AE3822">
        <w:lastRenderedPageBreak/>
        <w:t>neperformante şi la suportarea pierderilor care pot afecta fondurile proprii ale Băncii va fi incorporată în scenariul de simulare de criză aferent înrăutățirii calității portofoliului de credite.</w:t>
      </w:r>
    </w:p>
    <w:p w14:paraId="68A3DC84" w14:textId="77777777" w:rsidR="007D42FE" w:rsidRPr="00AE3822" w:rsidRDefault="007D42FE" w:rsidP="007D42FE">
      <w:pPr>
        <w:pStyle w:val="numbered"/>
        <w:numPr>
          <w:ilvl w:val="1"/>
          <w:numId w:val="30"/>
        </w:numPr>
        <w:tabs>
          <w:tab w:val="clear" w:pos="425"/>
        </w:tabs>
        <w:spacing w:line="240" w:lineRule="auto"/>
      </w:pPr>
      <w:r w:rsidRPr="00AE3822">
        <w:t>Banca își va baza simulările de criză pe evenimente excepționale, dar plauzibile. Simulările de criză trebuie să permită simularea șocurilor ce nu au avut loc anterior și sunt menite de a evalua soliditatea modelelor la posibilele schimbări ale mediului economic și financiar. La alegerea simulărilor de criză, banca va ține cont de următoarele:</w:t>
      </w:r>
    </w:p>
    <w:p w14:paraId="714F9A61" w14:textId="77777777" w:rsidR="007D42FE" w:rsidRPr="00AE3822" w:rsidRDefault="007D42FE" w:rsidP="007D42FE">
      <w:pPr>
        <w:pStyle w:val="af2"/>
        <w:ind w:left="567"/>
      </w:pPr>
      <w:r w:rsidRPr="00AE3822">
        <w:t>1) simulările de criză trebuie să se efectueze pe portofolii și tipuri de risc în funcție de schimbările și corelația dintre riscurile identificate pentru un anumit portofoliu;</w:t>
      </w:r>
    </w:p>
    <w:p w14:paraId="15E260B2" w14:textId="77777777" w:rsidR="007D42FE" w:rsidRPr="00AE3822" w:rsidRDefault="007D42FE" w:rsidP="007D42FE">
      <w:pPr>
        <w:pStyle w:val="af2"/>
        <w:ind w:left="567"/>
      </w:pPr>
      <w:r w:rsidRPr="00AE3822">
        <w:t>2) simulările de criză trebuie să se efectueze la diferite niveluri de severitate și probabilitate de materializare;</w:t>
      </w:r>
    </w:p>
    <w:p w14:paraId="28A43E0B" w14:textId="77777777" w:rsidR="007D42FE" w:rsidRPr="00AE3822" w:rsidRDefault="007D42FE" w:rsidP="007D42FE">
      <w:pPr>
        <w:pStyle w:val="af2"/>
        <w:ind w:left="567"/>
      </w:pPr>
      <w:r w:rsidRPr="00AE3822">
        <w:t>3) simulările de criză trebuie să fie dinamice și să includă apariția simultană a evenimentelor în întreaga bancă. Dezvoltarea unui portofoliu de scenarii ipotetice, care va include și un scenariu bazat pe evoluțiile istorice relevante ale parametrilor de risc;</w:t>
      </w:r>
    </w:p>
    <w:p w14:paraId="3FECFA5F" w14:textId="77777777" w:rsidR="007D42FE" w:rsidRPr="00AE3822" w:rsidRDefault="007D42FE" w:rsidP="007D42FE">
      <w:pPr>
        <w:pStyle w:val="af2"/>
        <w:ind w:left="567"/>
      </w:pPr>
      <w:r w:rsidRPr="00AE3822">
        <w:t>4) în cazul scenariilor istorice, banca trebuie să își bazeze simulările de criză pe scenarii excepționale, dar plauzibile pe parcursul unei anumite perioade, utilizând, dacă este posibil, date înregistrate pe parcursul unui întreg ciclu economic;</w:t>
      </w:r>
    </w:p>
    <w:p w14:paraId="014DE834" w14:textId="77777777" w:rsidR="007D42FE" w:rsidRPr="00AE3822" w:rsidRDefault="007D42FE" w:rsidP="007D42FE">
      <w:pPr>
        <w:pStyle w:val="af2"/>
        <w:ind w:left="567"/>
      </w:pPr>
      <w:r w:rsidRPr="00AE3822">
        <w:t>5) banca trebuie să înțeleagă cât de sever pot fi afectate fondurile proprii de profitabilitatea viitoare sau lipsa acesteia și cum va face față unei situații de criză precum cea simulată.</w:t>
      </w:r>
    </w:p>
    <w:p w14:paraId="24D1D6A1" w14:textId="77777777" w:rsidR="007D42FE" w:rsidRPr="00AE3822" w:rsidRDefault="007D42FE" w:rsidP="007D42FE">
      <w:pPr>
        <w:pStyle w:val="numbered"/>
        <w:numPr>
          <w:ilvl w:val="1"/>
          <w:numId w:val="30"/>
        </w:numPr>
        <w:tabs>
          <w:tab w:val="clear" w:pos="425"/>
        </w:tabs>
        <w:spacing w:line="240" w:lineRule="auto"/>
      </w:pPr>
      <w:r w:rsidRPr="00AE3822">
        <w:t>Banca va utiliza date veridice, exacte, suficient de granulate, actuale şi reprezentative pentru efectuarea simulărilor de criză, iar resursele informatice vor fi corespunzătoare complexității tehnicilor utilizate și gradului de acoperire aferent simulărilor de criză.</w:t>
      </w:r>
    </w:p>
    <w:p w14:paraId="212399C3" w14:textId="77777777" w:rsidR="007D42FE" w:rsidRPr="00AE3822" w:rsidRDefault="007D42FE" w:rsidP="007D42FE">
      <w:pPr>
        <w:pStyle w:val="numbered"/>
        <w:numPr>
          <w:ilvl w:val="1"/>
          <w:numId w:val="30"/>
        </w:numPr>
        <w:tabs>
          <w:tab w:val="clear" w:pos="425"/>
        </w:tabs>
        <w:spacing w:line="240" w:lineRule="auto"/>
      </w:pPr>
      <w:r w:rsidRPr="00AE3822">
        <w:t>Controlul asupra calității și corectitudinii efectuării simulărilor de criză se va efectua prin verificarea acestora de către șeful Direcției administrarea strategică a riscurilor și / sau șeful Departamentului riscuri bancare.</w:t>
      </w:r>
    </w:p>
    <w:p w14:paraId="6DCE8074" w14:textId="77777777" w:rsidR="007D42FE" w:rsidRPr="00AE3822" w:rsidRDefault="007D42FE" w:rsidP="007D42FE">
      <w:pPr>
        <w:pStyle w:val="Titlu-1"/>
        <w:numPr>
          <w:ilvl w:val="0"/>
          <w:numId w:val="0"/>
        </w:numPr>
        <w:ind w:left="567"/>
        <w:jc w:val="center"/>
      </w:pPr>
      <w:bookmarkStart w:id="8" w:name="_Toc6219235"/>
      <w:r w:rsidRPr="00AE3822">
        <w:rPr>
          <w:sz w:val="24"/>
        </w:rPr>
        <w:t>4. Organizarea simulărilor de criză în Bancă</w:t>
      </w:r>
      <w:bookmarkEnd w:id="8"/>
    </w:p>
    <w:p w14:paraId="2622C396" w14:textId="77777777" w:rsidR="007D42FE" w:rsidRDefault="007D42FE" w:rsidP="007D42FE">
      <w:pPr>
        <w:pStyle w:val="numbered"/>
        <w:numPr>
          <w:ilvl w:val="1"/>
          <w:numId w:val="31"/>
        </w:numPr>
        <w:tabs>
          <w:tab w:val="clear" w:pos="425"/>
        </w:tabs>
        <w:spacing w:line="240" w:lineRule="auto"/>
      </w:pPr>
      <w:r>
        <w:t>Periodicitatea efectuării simulărilor la criză și perfectării raportului privind simulările la criză va fi stabilită în Programul privind efectuarea simulărilor la criză, dar nu mai rară decât anual</w:t>
      </w:r>
      <w:r w:rsidRPr="00AE3822">
        <w:t>.</w:t>
      </w:r>
      <w:r>
        <w:t xml:space="preserve"> În procesul monitorizării respectării apetitului și toleranței la risc, Banca va calcula rata capitalului intern cel puțin trimestrial, utilizând pentru aceasta scenarii de simulare la criză aferente fiecărui risc semnificativ. Informația respectivă va fi prezentată </w:t>
      </w:r>
      <w:r w:rsidRPr="00BB1D13">
        <w:rPr>
          <w:u w:val="single"/>
        </w:rPr>
        <w:t>trimestrial</w:t>
      </w:r>
      <w:r>
        <w:t xml:space="preserve"> Comitetului de administrare a riscurilor și Consiliului Băncii în cadrul Raportului privind administrarea riscurilor semnificative.</w:t>
      </w:r>
    </w:p>
    <w:p w14:paraId="1EB620D8" w14:textId="77777777" w:rsidR="007D42FE" w:rsidRDefault="007D42FE" w:rsidP="007D42FE">
      <w:pPr>
        <w:pStyle w:val="numbered"/>
        <w:numPr>
          <w:ilvl w:val="0"/>
          <w:numId w:val="0"/>
        </w:numPr>
        <w:tabs>
          <w:tab w:val="clear" w:pos="425"/>
        </w:tabs>
        <w:spacing w:line="240" w:lineRule="auto"/>
        <w:ind w:left="360"/>
        <w:rPr>
          <w:b/>
        </w:rPr>
      </w:pPr>
      <w:r>
        <w:t>Raportul privind simulările de criză va fi elaborat separat și prezentat Băncii Naționale a Moldovei anual.</w:t>
      </w:r>
    </w:p>
    <w:p w14:paraId="4C16BFA8" w14:textId="77777777" w:rsidR="007D42FE" w:rsidRPr="00AE3822" w:rsidRDefault="007D42FE" w:rsidP="007D42FE">
      <w:pPr>
        <w:pStyle w:val="numbered"/>
        <w:spacing w:line="240" w:lineRule="auto"/>
        <w:ind w:left="426"/>
        <w:rPr>
          <w:b/>
        </w:rPr>
      </w:pPr>
      <w:r w:rsidRPr="00AE3822">
        <w:rPr>
          <w:b/>
        </w:rPr>
        <w:t>Motivele pentru efectuarea testării la stres pot fi următoarele:</w:t>
      </w:r>
    </w:p>
    <w:p w14:paraId="1FC36AEC" w14:textId="77777777" w:rsidR="007D42FE" w:rsidRPr="00AE3822" w:rsidRDefault="007D42FE" w:rsidP="007D42FE">
      <w:pPr>
        <w:pStyle w:val="numbered"/>
        <w:numPr>
          <w:ilvl w:val="1"/>
          <w:numId w:val="35"/>
        </w:numPr>
        <w:tabs>
          <w:tab w:val="clear" w:pos="1440"/>
          <w:tab w:val="num" w:pos="709"/>
        </w:tabs>
        <w:spacing w:before="0" w:line="240" w:lineRule="auto"/>
        <w:ind w:hanging="1014"/>
      </w:pPr>
      <w:r w:rsidRPr="00AE3822">
        <w:t>solicitarea efectuării din partea BNM sau din partea altor organe de control extern</w:t>
      </w:r>
      <w:r>
        <w:t>;</w:t>
      </w:r>
    </w:p>
    <w:p w14:paraId="26E99FE0" w14:textId="77777777" w:rsidR="007D42FE" w:rsidRPr="00AE3822" w:rsidRDefault="007D42FE" w:rsidP="007D42FE">
      <w:pPr>
        <w:pStyle w:val="numbered"/>
        <w:numPr>
          <w:ilvl w:val="1"/>
          <w:numId w:val="35"/>
        </w:numPr>
        <w:tabs>
          <w:tab w:val="clear" w:pos="1440"/>
          <w:tab w:val="num" w:pos="709"/>
        </w:tabs>
        <w:spacing w:before="0" w:line="240" w:lineRule="auto"/>
        <w:ind w:left="709" w:hanging="283"/>
      </w:pPr>
      <w:r w:rsidRPr="00AE3822">
        <w:t>modificarea esenţială a profilului de risc al Băncii (diminuarea efectivă a ratei fondurilor proprii la risc până la 20%);</w:t>
      </w:r>
    </w:p>
    <w:p w14:paraId="6BA71A6E" w14:textId="77777777" w:rsidR="007D42FE" w:rsidRPr="00AE3822" w:rsidRDefault="007D42FE" w:rsidP="007D42FE">
      <w:pPr>
        <w:pStyle w:val="numbered"/>
        <w:numPr>
          <w:ilvl w:val="1"/>
          <w:numId w:val="35"/>
        </w:numPr>
        <w:tabs>
          <w:tab w:val="clear" w:pos="1440"/>
          <w:tab w:val="num" w:pos="709"/>
        </w:tabs>
        <w:spacing w:before="0" w:line="240" w:lineRule="auto"/>
        <w:ind w:left="709" w:hanging="283"/>
      </w:pPr>
      <w:r w:rsidRPr="00AE3822">
        <w:t>modificarea esenţială a situaţiei macroeconomice şi/sau din sectorul bancar (spre exemplu, diminuarea efectivă a PIB-ului pe parcursul a 3 trimestre consecutive, majorarea ratei anuale a inflației cu mai peste 4% în decursul unui trimestru).</w:t>
      </w:r>
    </w:p>
    <w:p w14:paraId="04ADE7CC" w14:textId="77777777" w:rsidR="007D42FE" w:rsidRPr="00AE3822" w:rsidRDefault="007D42FE" w:rsidP="007D42FE">
      <w:pPr>
        <w:pStyle w:val="numbered"/>
        <w:numPr>
          <w:ilvl w:val="0"/>
          <w:numId w:val="0"/>
        </w:numPr>
        <w:spacing w:line="240" w:lineRule="auto"/>
        <w:ind w:left="567"/>
      </w:pPr>
      <w:r w:rsidRPr="00AE3822">
        <w:t>În cazul înregistrării unei situații descrise mai sus, Departamentul riscuri bancare înaintează propunerea de a efectua simulările de criză către Comitetul de Conducere a Băncii.</w:t>
      </w:r>
    </w:p>
    <w:p w14:paraId="1EA23E13" w14:textId="77777777" w:rsidR="007D42FE" w:rsidRPr="00AE3822" w:rsidRDefault="007D42FE" w:rsidP="007D42FE">
      <w:pPr>
        <w:pStyle w:val="numbered"/>
        <w:numPr>
          <w:ilvl w:val="0"/>
          <w:numId w:val="0"/>
        </w:numPr>
        <w:spacing w:line="240" w:lineRule="auto"/>
        <w:ind w:left="567"/>
      </w:pPr>
      <w:r w:rsidRPr="00AE3822">
        <w:t>De asemenea, simulările la criză pot fi efectuate și ad-hoc, pentru scopuri specifice.</w:t>
      </w:r>
    </w:p>
    <w:p w14:paraId="513424E2" w14:textId="77777777" w:rsidR="007D42FE" w:rsidRPr="00AE3822" w:rsidRDefault="007D42FE" w:rsidP="007D42FE">
      <w:pPr>
        <w:pStyle w:val="af4"/>
        <w:numPr>
          <w:ilvl w:val="0"/>
          <w:numId w:val="1"/>
        </w:numPr>
        <w:tabs>
          <w:tab w:val="left" w:pos="425"/>
        </w:tabs>
        <w:rPr>
          <w:vanish/>
        </w:rPr>
      </w:pPr>
    </w:p>
    <w:p w14:paraId="5877E4F7" w14:textId="77777777" w:rsidR="007D42FE" w:rsidRPr="00AE3822" w:rsidRDefault="007D42FE" w:rsidP="007D42FE">
      <w:pPr>
        <w:pStyle w:val="af4"/>
        <w:numPr>
          <w:ilvl w:val="0"/>
          <w:numId w:val="1"/>
        </w:numPr>
        <w:tabs>
          <w:tab w:val="left" w:pos="425"/>
        </w:tabs>
        <w:rPr>
          <w:vanish/>
        </w:rPr>
      </w:pPr>
    </w:p>
    <w:p w14:paraId="0A97C308" w14:textId="77777777" w:rsidR="007D42FE" w:rsidRPr="00AE3822" w:rsidRDefault="007D42FE" w:rsidP="007D42FE">
      <w:pPr>
        <w:pStyle w:val="af4"/>
        <w:numPr>
          <w:ilvl w:val="1"/>
          <w:numId w:val="1"/>
        </w:numPr>
        <w:tabs>
          <w:tab w:val="left" w:pos="425"/>
        </w:tabs>
        <w:rPr>
          <w:vanish/>
        </w:rPr>
      </w:pPr>
    </w:p>
    <w:p w14:paraId="7B21C193" w14:textId="77777777" w:rsidR="007D42FE" w:rsidRPr="00AE3822" w:rsidRDefault="007D42FE" w:rsidP="007D42FE">
      <w:pPr>
        <w:pStyle w:val="numbered"/>
        <w:numPr>
          <w:ilvl w:val="1"/>
          <w:numId w:val="1"/>
        </w:numPr>
        <w:tabs>
          <w:tab w:val="clear" w:pos="425"/>
        </w:tabs>
        <w:spacing w:line="240" w:lineRule="auto"/>
      </w:pPr>
      <w:r w:rsidRPr="00AE3822">
        <w:t xml:space="preserve">În scopul aprecierii veridicităţii simulărilor de criză propuse, Departamentul riscuri bancare poate utiliza informaţia din Baza de date privind cazurile de realizare a riscurilor operaţionale, precum şi informaţia privind situaţiile excepţionale (de criză) care au avut loc atât în Republica Moldova, cât şi în alte ţări. </w:t>
      </w:r>
    </w:p>
    <w:p w14:paraId="590C2308" w14:textId="77777777" w:rsidR="007D42FE" w:rsidRPr="00AE3822" w:rsidRDefault="007D42FE" w:rsidP="007D42FE">
      <w:pPr>
        <w:pStyle w:val="numbered"/>
        <w:numPr>
          <w:ilvl w:val="1"/>
          <w:numId w:val="1"/>
        </w:numPr>
        <w:tabs>
          <w:tab w:val="clear" w:pos="425"/>
        </w:tabs>
        <w:spacing w:line="240" w:lineRule="auto"/>
      </w:pPr>
      <w:r w:rsidRPr="00AE3822">
        <w:t>Banca va utiliza următoarele simulări de criză:</w:t>
      </w:r>
    </w:p>
    <w:p w14:paraId="41A8C2D9" w14:textId="77777777" w:rsidR="007D42FE" w:rsidRPr="00AE3822" w:rsidRDefault="007D42FE" w:rsidP="007D42FE">
      <w:pPr>
        <w:pStyle w:val="numbered"/>
        <w:numPr>
          <w:ilvl w:val="0"/>
          <w:numId w:val="23"/>
        </w:numPr>
        <w:tabs>
          <w:tab w:val="clear" w:pos="425"/>
        </w:tabs>
        <w:spacing w:before="0" w:line="240" w:lineRule="auto"/>
      </w:pPr>
      <w:r w:rsidRPr="00AE3822">
        <w:t>Simulări de criză ale portofoliului de credite</w:t>
      </w:r>
    </w:p>
    <w:p w14:paraId="0247C99D" w14:textId="77777777" w:rsidR="007D42FE" w:rsidRPr="00AE3822" w:rsidRDefault="007D42FE" w:rsidP="007D42FE">
      <w:pPr>
        <w:pStyle w:val="numbered"/>
        <w:numPr>
          <w:ilvl w:val="0"/>
          <w:numId w:val="23"/>
        </w:numPr>
        <w:tabs>
          <w:tab w:val="clear" w:pos="425"/>
        </w:tabs>
        <w:spacing w:before="0" w:line="240" w:lineRule="auto"/>
      </w:pPr>
      <w:r w:rsidRPr="00AE3822">
        <w:t xml:space="preserve">Simulări de criză ale riscului de concentrare </w:t>
      </w:r>
    </w:p>
    <w:p w14:paraId="170E4A27" w14:textId="77777777" w:rsidR="007D42FE" w:rsidRPr="00AE3822" w:rsidRDefault="007D42FE" w:rsidP="007D42FE">
      <w:pPr>
        <w:pStyle w:val="numbered"/>
        <w:numPr>
          <w:ilvl w:val="0"/>
          <w:numId w:val="23"/>
        </w:numPr>
        <w:tabs>
          <w:tab w:val="clear" w:pos="425"/>
        </w:tabs>
        <w:spacing w:before="0" w:line="240" w:lineRule="auto"/>
      </w:pPr>
      <w:r w:rsidRPr="00AE3822">
        <w:t>Simulări de criză ale riscului de piață</w:t>
      </w:r>
    </w:p>
    <w:p w14:paraId="1A3F83E7" w14:textId="77777777" w:rsidR="007D42FE" w:rsidRPr="00AE3822" w:rsidRDefault="007D42FE" w:rsidP="007D42FE">
      <w:pPr>
        <w:pStyle w:val="numbered"/>
        <w:numPr>
          <w:ilvl w:val="0"/>
          <w:numId w:val="23"/>
        </w:numPr>
        <w:tabs>
          <w:tab w:val="clear" w:pos="425"/>
        </w:tabs>
        <w:spacing w:before="0" w:line="240" w:lineRule="auto"/>
      </w:pPr>
      <w:r w:rsidRPr="00AE3822">
        <w:t>Simulări de criză ale riscului de țară/transfer</w:t>
      </w:r>
    </w:p>
    <w:p w14:paraId="11B3F536" w14:textId="77777777" w:rsidR="007D42FE" w:rsidRPr="00AE3822" w:rsidRDefault="007D42FE" w:rsidP="007D42FE">
      <w:pPr>
        <w:pStyle w:val="numbered"/>
        <w:numPr>
          <w:ilvl w:val="0"/>
          <w:numId w:val="23"/>
        </w:numPr>
        <w:tabs>
          <w:tab w:val="clear" w:pos="425"/>
        </w:tabs>
        <w:spacing w:before="0" w:line="240" w:lineRule="auto"/>
      </w:pPr>
      <w:r w:rsidRPr="00AE3822">
        <w:t>Simulări de criză ale riscului operațional</w:t>
      </w:r>
    </w:p>
    <w:p w14:paraId="3FD2C640" w14:textId="77777777" w:rsidR="007D42FE" w:rsidRPr="00AE3822" w:rsidRDefault="007D42FE" w:rsidP="007D42FE">
      <w:pPr>
        <w:pStyle w:val="numbered"/>
        <w:numPr>
          <w:ilvl w:val="0"/>
          <w:numId w:val="23"/>
        </w:numPr>
        <w:tabs>
          <w:tab w:val="clear" w:pos="425"/>
        </w:tabs>
        <w:spacing w:before="0" w:line="240" w:lineRule="auto"/>
      </w:pPr>
      <w:r w:rsidRPr="00AE3822">
        <w:t>Simulări de criză ale riscului ratei dobânzii</w:t>
      </w:r>
    </w:p>
    <w:p w14:paraId="140C507B" w14:textId="77777777" w:rsidR="007D42FE" w:rsidRPr="00AE3822" w:rsidRDefault="007D42FE" w:rsidP="007D42FE">
      <w:pPr>
        <w:pStyle w:val="numbered"/>
        <w:numPr>
          <w:ilvl w:val="0"/>
          <w:numId w:val="23"/>
        </w:numPr>
        <w:tabs>
          <w:tab w:val="clear" w:pos="425"/>
        </w:tabs>
        <w:spacing w:before="0" w:line="240" w:lineRule="auto"/>
      </w:pPr>
      <w:r w:rsidRPr="00AE3822">
        <w:t>Simulări de criză ale riscului reputațional</w:t>
      </w:r>
    </w:p>
    <w:p w14:paraId="3778403F" w14:textId="77777777" w:rsidR="007D42FE" w:rsidRDefault="007D42FE" w:rsidP="007D42FE">
      <w:pPr>
        <w:pStyle w:val="numbered"/>
        <w:numPr>
          <w:ilvl w:val="0"/>
          <w:numId w:val="23"/>
        </w:numPr>
        <w:tabs>
          <w:tab w:val="clear" w:pos="425"/>
        </w:tabs>
        <w:spacing w:before="0" w:line="240" w:lineRule="auto"/>
      </w:pPr>
      <w:r w:rsidRPr="00AE3822">
        <w:t>Simulări de criză ale riscului de lichiditate a Băncii</w:t>
      </w:r>
    </w:p>
    <w:p w14:paraId="1B458841" w14:textId="77777777" w:rsidR="007D42FE" w:rsidRDefault="007D42FE" w:rsidP="007D42FE">
      <w:pPr>
        <w:pStyle w:val="numbered"/>
        <w:numPr>
          <w:ilvl w:val="0"/>
          <w:numId w:val="23"/>
        </w:numPr>
        <w:tabs>
          <w:tab w:val="clear" w:pos="425"/>
        </w:tabs>
        <w:spacing w:before="0" w:line="240" w:lineRule="auto"/>
      </w:pPr>
      <w:r w:rsidRPr="00AE3822">
        <w:lastRenderedPageBreak/>
        <w:t>Simulări de criză ale riscului</w:t>
      </w:r>
      <w:r>
        <w:t xml:space="preserve"> strategic</w:t>
      </w:r>
    </w:p>
    <w:p w14:paraId="5588F782" w14:textId="77777777" w:rsidR="007D42FE" w:rsidRPr="00AE3822" w:rsidRDefault="007D42FE" w:rsidP="007D42FE">
      <w:pPr>
        <w:pStyle w:val="numbered"/>
        <w:numPr>
          <w:ilvl w:val="0"/>
          <w:numId w:val="23"/>
        </w:numPr>
        <w:tabs>
          <w:tab w:val="clear" w:pos="425"/>
        </w:tabs>
        <w:spacing w:before="0" w:line="240" w:lineRule="auto"/>
      </w:pPr>
      <w:r w:rsidRPr="00AE3822">
        <w:t xml:space="preserve">Simulări de criză </w:t>
      </w:r>
      <w:r>
        <w:t>care să țină cont de riscul privind expunerile cu persoanele afiliate</w:t>
      </w:r>
    </w:p>
    <w:p w14:paraId="028C2486" w14:textId="77777777" w:rsidR="007D42FE" w:rsidRPr="00AE3822" w:rsidRDefault="007D42FE" w:rsidP="007D42FE">
      <w:pPr>
        <w:pStyle w:val="numbered"/>
        <w:numPr>
          <w:ilvl w:val="1"/>
          <w:numId w:val="1"/>
        </w:numPr>
        <w:tabs>
          <w:tab w:val="clear" w:pos="425"/>
        </w:tabs>
        <w:spacing w:line="240" w:lineRule="auto"/>
      </w:pPr>
      <w:r w:rsidRPr="00AE3822">
        <w:t>Simulările de criză pentru riscul de credit vor conține simulări la nivelul portofoliului de credite în baza condițiilor macroeconomice si financiare locale, presupunând modificări specifice ale parametrilor PD și / sau LGD. Unul dintre cei mai importanți parametrii la nivelul portofoliului de credite care ar putea influenta indicatorii de risc specifici este PD - probabilitatea de nerambursare/ rata de nerambursare.</w:t>
      </w:r>
    </w:p>
    <w:p w14:paraId="5561EA8A" w14:textId="77777777" w:rsidR="007D42FE" w:rsidRPr="00AE3822" w:rsidRDefault="007D42FE" w:rsidP="007D42FE">
      <w:pPr>
        <w:pStyle w:val="numbered"/>
        <w:numPr>
          <w:ilvl w:val="1"/>
          <w:numId w:val="1"/>
        </w:numPr>
        <w:tabs>
          <w:tab w:val="clear" w:pos="425"/>
        </w:tabs>
        <w:spacing w:line="240" w:lineRule="auto"/>
      </w:pPr>
      <w:r w:rsidRPr="00AE3822">
        <w:t>Riscul de credit aferent creditelor în valută</w:t>
      </w:r>
    </w:p>
    <w:p w14:paraId="286FA360" w14:textId="77777777" w:rsidR="007D42FE" w:rsidRPr="00AE3822" w:rsidRDefault="007D42FE" w:rsidP="007D42FE">
      <w:pPr>
        <w:pStyle w:val="numbered"/>
        <w:numPr>
          <w:ilvl w:val="0"/>
          <w:numId w:val="0"/>
        </w:numPr>
        <w:tabs>
          <w:tab w:val="clear" w:pos="425"/>
        </w:tabs>
        <w:spacing w:line="240" w:lineRule="auto"/>
        <w:ind w:left="525"/>
      </w:pPr>
      <w:r w:rsidRPr="00AE3822">
        <w:t>Obiectivul simulărilor de criză valutare este acela de a stabili o analiză periodică și sistematică, cât și monitorizarea creditelor în valută pentru a putea estima capacitatea de absorbție a pierderilor și impactul pierderilor din deprecierea monedei locale asupra profitabilității produselor. Dacă riscul creditării în valută este semnificativ atunci este necesară simularea la criză a cursurilor de schimb pentru portofoliile care sunt impactate de acest risc.</w:t>
      </w:r>
    </w:p>
    <w:p w14:paraId="5DDB724A" w14:textId="77777777" w:rsidR="007D42FE" w:rsidRDefault="007D42FE" w:rsidP="007D42FE">
      <w:pPr>
        <w:pStyle w:val="numbered"/>
        <w:numPr>
          <w:ilvl w:val="1"/>
          <w:numId w:val="1"/>
        </w:numPr>
        <w:tabs>
          <w:tab w:val="clear" w:pos="425"/>
        </w:tabs>
        <w:spacing w:line="240" w:lineRule="auto"/>
      </w:pPr>
      <w:r w:rsidRPr="00AE3822">
        <w:t>Simulările de criză pentru riscul de concentrare vor conține calculul necesității fondurilor proprii conform indice</w:t>
      </w:r>
      <w:r>
        <w:t>lui Herfindahl-Hirschman (HHI).</w:t>
      </w:r>
    </w:p>
    <w:p w14:paraId="46BC679C" w14:textId="77777777" w:rsidR="007D42FE" w:rsidRPr="00AE3822" w:rsidRDefault="007D42FE" w:rsidP="007D42FE">
      <w:pPr>
        <w:pStyle w:val="numbered"/>
        <w:numPr>
          <w:ilvl w:val="0"/>
          <w:numId w:val="0"/>
        </w:numPr>
        <w:tabs>
          <w:tab w:val="clear" w:pos="425"/>
        </w:tabs>
        <w:spacing w:line="240" w:lineRule="auto"/>
        <w:ind w:left="525"/>
      </w:pPr>
      <w:r>
        <w:t>Pentru calculul necesarului de fonduri proprii, se ia portofoliul de credite pentru fiecare debitor în parte și se exclud creditele în default. Indicele HHI este calculat ca suma pătratelor tuturor expunerilor debitorilor, calculate ca active ponderate la risc, raportate la activele ponderate la risc.</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1247"/>
        <w:gridCol w:w="1247"/>
        <w:gridCol w:w="1246"/>
        <w:gridCol w:w="1247"/>
        <w:gridCol w:w="1080"/>
      </w:tblGrid>
      <w:tr w:rsidR="007D42FE" w:rsidRPr="00AE3822" w14:paraId="336AE46E" w14:textId="77777777" w:rsidTr="00B83BA0">
        <w:tc>
          <w:tcPr>
            <w:tcW w:w="3127" w:type="dxa"/>
            <w:shd w:val="clear" w:color="auto" w:fill="auto"/>
          </w:tcPr>
          <w:p w14:paraId="44DFA6A3" w14:textId="77777777" w:rsidR="007D42FE" w:rsidRPr="00AE3822" w:rsidRDefault="007D42FE" w:rsidP="00B83BA0">
            <w:pPr>
              <w:pStyle w:val="numbered"/>
              <w:numPr>
                <w:ilvl w:val="0"/>
                <w:numId w:val="0"/>
              </w:numPr>
              <w:tabs>
                <w:tab w:val="clear" w:pos="425"/>
              </w:tabs>
              <w:spacing w:line="240" w:lineRule="auto"/>
              <w:jc w:val="center"/>
              <w:rPr>
                <w:sz w:val="14"/>
              </w:rPr>
            </w:pPr>
            <w:r w:rsidRPr="00AE3822">
              <w:rPr>
                <w:sz w:val="14"/>
              </w:rPr>
              <w:t>Segment</w:t>
            </w:r>
          </w:p>
        </w:tc>
        <w:tc>
          <w:tcPr>
            <w:tcW w:w="1276" w:type="dxa"/>
            <w:shd w:val="clear" w:color="auto" w:fill="auto"/>
          </w:tcPr>
          <w:p w14:paraId="53088252" w14:textId="77777777" w:rsidR="007D42FE" w:rsidRPr="00AE3822" w:rsidRDefault="007D42FE" w:rsidP="00B83BA0">
            <w:pPr>
              <w:pStyle w:val="numbered"/>
              <w:numPr>
                <w:ilvl w:val="0"/>
                <w:numId w:val="0"/>
              </w:numPr>
              <w:tabs>
                <w:tab w:val="clear" w:pos="425"/>
              </w:tabs>
              <w:spacing w:line="240" w:lineRule="auto"/>
              <w:jc w:val="center"/>
              <w:rPr>
                <w:sz w:val="14"/>
              </w:rPr>
            </w:pPr>
            <w:r w:rsidRPr="00AE3822">
              <w:rPr>
                <w:sz w:val="14"/>
              </w:rPr>
              <w:t>1</w:t>
            </w:r>
          </w:p>
        </w:tc>
        <w:tc>
          <w:tcPr>
            <w:tcW w:w="1276" w:type="dxa"/>
            <w:shd w:val="clear" w:color="auto" w:fill="auto"/>
          </w:tcPr>
          <w:p w14:paraId="087C6C18" w14:textId="77777777" w:rsidR="007D42FE" w:rsidRPr="00AE3822" w:rsidRDefault="007D42FE" w:rsidP="00B83BA0">
            <w:pPr>
              <w:pStyle w:val="numbered"/>
              <w:numPr>
                <w:ilvl w:val="0"/>
                <w:numId w:val="0"/>
              </w:numPr>
              <w:tabs>
                <w:tab w:val="clear" w:pos="425"/>
              </w:tabs>
              <w:spacing w:line="240" w:lineRule="auto"/>
              <w:jc w:val="center"/>
              <w:rPr>
                <w:sz w:val="14"/>
              </w:rPr>
            </w:pPr>
            <w:r w:rsidRPr="00AE3822">
              <w:rPr>
                <w:sz w:val="14"/>
              </w:rPr>
              <w:t>2</w:t>
            </w:r>
          </w:p>
        </w:tc>
        <w:tc>
          <w:tcPr>
            <w:tcW w:w="1275" w:type="dxa"/>
            <w:shd w:val="clear" w:color="auto" w:fill="auto"/>
          </w:tcPr>
          <w:p w14:paraId="284B8234" w14:textId="77777777" w:rsidR="007D42FE" w:rsidRPr="00AE3822" w:rsidRDefault="007D42FE" w:rsidP="00B83BA0">
            <w:pPr>
              <w:pStyle w:val="numbered"/>
              <w:numPr>
                <w:ilvl w:val="0"/>
                <w:numId w:val="0"/>
              </w:numPr>
              <w:tabs>
                <w:tab w:val="clear" w:pos="425"/>
              </w:tabs>
              <w:spacing w:line="240" w:lineRule="auto"/>
              <w:jc w:val="center"/>
              <w:rPr>
                <w:sz w:val="14"/>
              </w:rPr>
            </w:pPr>
            <w:r w:rsidRPr="00AE3822">
              <w:rPr>
                <w:sz w:val="14"/>
              </w:rPr>
              <w:t>3</w:t>
            </w:r>
          </w:p>
        </w:tc>
        <w:tc>
          <w:tcPr>
            <w:tcW w:w="1276" w:type="dxa"/>
            <w:shd w:val="clear" w:color="auto" w:fill="auto"/>
          </w:tcPr>
          <w:p w14:paraId="73CEC22E" w14:textId="77777777" w:rsidR="007D42FE" w:rsidRPr="00AE3822" w:rsidRDefault="007D42FE" w:rsidP="00B83BA0">
            <w:pPr>
              <w:pStyle w:val="numbered"/>
              <w:numPr>
                <w:ilvl w:val="0"/>
                <w:numId w:val="0"/>
              </w:numPr>
              <w:tabs>
                <w:tab w:val="clear" w:pos="425"/>
              </w:tabs>
              <w:spacing w:line="240" w:lineRule="auto"/>
              <w:jc w:val="center"/>
              <w:rPr>
                <w:sz w:val="14"/>
              </w:rPr>
            </w:pPr>
            <w:r w:rsidRPr="00AE3822">
              <w:rPr>
                <w:sz w:val="14"/>
              </w:rPr>
              <w:t>4</w:t>
            </w:r>
          </w:p>
        </w:tc>
        <w:tc>
          <w:tcPr>
            <w:tcW w:w="1098" w:type="dxa"/>
            <w:shd w:val="clear" w:color="auto" w:fill="auto"/>
          </w:tcPr>
          <w:p w14:paraId="5DFC4EE1" w14:textId="77777777" w:rsidR="007D42FE" w:rsidRPr="00AE3822" w:rsidRDefault="007D42FE" w:rsidP="00B83BA0">
            <w:pPr>
              <w:pStyle w:val="numbered"/>
              <w:numPr>
                <w:ilvl w:val="0"/>
                <w:numId w:val="0"/>
              </w:numPr>
              <w:tabs>
                <w:tab w:val="clear" w:pos="425"/>
              </w:tabs>
              <w:spacing w:line="240" w:lineRule="auto"/>
              <w:jc w:val="center"/>
              <w:rPr>
                <w:sz w:val="14"/>
              </w:rPr>
            </w:pPr>
            <w:r w:rsidRPr="00AE3822">
              <w:rPr>
                <w:sz w:val="14"/>
              </w:rPr>
              <w:t>5</w:t>
            </w:r>
          </w:p>
        </w:tc>
      </w:tr>
      <w:tr w:rsidR="007D42FE" w:rsidRPr="00AE3822" w14:paraId="3C9979C7" w14:textId="77777777" w:rsidTr="00B83BA0">
        <w:tc>
          <w:tcPr>
            <w:tcW w:w="3127" w:type="dxa"/>
            <w:shd w:val="clear" w:color="auto" w:fill="auto"/>
          </w:tcPr>
          <w:p w14:paraId="26CA2FDF" w14:textId="77777777" w:rsidR="007D42FE" w:rsidRPr="00AE3822" w:rsidRDefault="007D42FE" w:rsidP="00B83BA0">
            <w:pPr>
              <w:pStyle w:val="numbered"/>
              <w:numPr>
                <w:ilvl w:val="0"/>
                <w:numId w:val="0"/>
              </w:numPr>
              <w:tabs>
                <w:tab w:val="clear" w:pos="425"/>
              </w:tabs>
              <w:spacing w:line="240" w:lineRule="auto"/>
              <w:rPr>
                <w:sz w:val="14"/>
              </w:rPr>
            </w:pPr>
            <w:r w:rsidRPr="00AE3822">
              <w:rPr>
                <w:sz w:val="14"/>
              </w:rPr>
              <w:t xml:space="preserve">Indice HHI (concentrare </w:t>
            </w:r>
            <w:r>
              <w:rPr>
                <w:sz w:val="14"/>
              </w:rPr>
              <w:t>debitor în RWA</w:t>
            </w:r>
            <w:r w:rsidRPr="00AE3822">
              <w:rPr>
                <w:sz w:val="14"/>
              </w:rPr>
              <w:t>)</w:t>
            </w:r>
          </w:p>
        </w:tc>
        <w:tc>
          <w:tcPr>
            <w:tcW w:w="1276" w:type="dxa"/>
            <w:shd w:val="clear" w:color="auto" w:fill="auto"/>
          </w:tcPr>
          <w:p w14:paraId="359B44AC" w14:textId="77777777" w:rsidR="007D42FE" w:rsidRPr="00AE3822" w:rsidRDefault="007D42FE" w:rsidP="00B83BA0">
            <w:pPr>
              <w:pStyle w:val="numbered"/>
              <w:numPr>
                <w:ilvl w:val="0"/>
                <w:numId w:val="0"/>
              </w:numPr>
              <w:tabs>
                <w:tab w:val="clear" w:pos="425"/>
              </w:tabs>
              <w:spacing w:line="240" w:lineRule="auto"/>
              <w:jc w:val="right"/>
              <w:rPr>
                <w:sz w:val="14"/>
              </w:rPr>
            </w:pPr>
            <w:r w:rsidRPr="00AE3822">
              <w:rPr>
                <w:sz w:val="14"/>
              </w:rPr>
              <w:t>0% - 0,29%</w:t>
            </w:r>
          </w:p>
        </w:tc>
        <w:tc>
          <w:tcPr>
            <w:tcW w:w="1276" w:type="dxa"/>
            <w:shd w:val="clear" w:color="auto" w:fill="auto"/>
          </w:tcPr>
          <w:p w14:paraId="20A638FA" w14:textId="77777777" w:rsidR="007D42FE" w:rsidRPr="00AE3822" w:rsidRDefault="007D42FE" w:rsidP="00B83BA0">
            <w:pPr>
              <w:pStyle w:val="numbered"/>
              <w:numPr>
                <w:ilvl w:val="0"/>
                <w:numId w:val="0"/>
              </w:numPr>
              <w:tabs>
                <w:tab w:val="clear" w:pos="425"/>
              </w:tabs>
              <w:spacing w:line="240" w:lineRule="auto"/>
              <w:jc w:val="right"/>
              <w:rPr>
                <w:sz w:val="14"/>
              </w:rPr>
            </w:pPr>
            <w:r w:rsidRPr="00AE3822">
              <w:rPr>
                <w:sz w:val="14"/>
              </w:rPr>
              <w:t>0,29% - 0,59%</w:t>
            </w:r>
          </w:p>
        </w:tc>
        <w:tc>
          <w:tcPr>
            <w:tcW w:w="1275" w:type="dxa"/>
            <w:shd w:val="clear" w:color="auto" w:fill="auto"/>
          </w:tcPr>
          <w:p w14:paraId="23E49508" w14:textId="77777777" w:rsidR="007D42FE" w:rsidRPr="00AE3822" w:rsidRDefault="007D42FE" w:rsidP="00B83BA0">
            <w:pPr>
              <w:pStyle w:val="numbered"/>
              <w:numPr>
                <w:ilvl w:val="0"/>
                <w:numId w:val="0"/>
              </w:numPr>
              <w:tabs>
                <w:tab w:val="clear" w:pos="425"/>
              </w:tabs>
              <w:spacing w:line="240" w:lineRule="auto"/>
              <w:jc w:val="right"/>
              <w:rPr>
                <w:sz w:val="14"/>
              </w:rPr>
            </w:pPr>
            <w:r w:rsidRPr="00AE3822">
              <w:rPr>
                <w:sz w:val="14"/>
              </w:rPr>
              <w:t>0,59% - 1,15%</w:t>
            </w:r>
          </w:p>
        </w:tc>
        <w:tc>
          <w:tcPr>
            <w:tcW w:w="1276" w:type="dxa"/>
            <w:shd w:val="clear" w:color="auto" w:fill="auto"/>
          </w:tcPr>
          <w:p w14:paraId="13360EF4" w14:textId="77777777" w:rsidR="007D42FE" w:rsidRPr="00AE3822" w:rsidRDefault="007D42FE" w:rsidP="00B83BA0">
            <w:pPr>
              <w:pStyle w:val="numbered"/>
              <w:numPr>
                <w:ilvl w:val="0"/>
                <w:numId w:val="0"/>
              </w:numPr>
              <w:tabs>
                <w:tab w:val="clear" w:pos="425"/>
              </w:tabs>
              <w:spacing w:line="240" w:lineRule="auto"/>
              <w:jc w:val="right"/>
              <w:rPr>
                <w:sz w:val="14"/>
              </w:rPr>
            </w:pPr>
            <w:r w:rsidRPr="00AE3822">
              <w:rPr>
                <w:sz w:val="14"/>
              </w:rPr>
              <w:t>1,15% - 1,65%</w:t>
            </w:r>
          </w:p>
        </w:tc>
        <w:tc>
          <w:tcPr>
            <w:tcW w:w="1098" w:type="dxa"/>
            <w:shd w:val="clear" w:color="auto" w:fill="auto"/>
          </w:tcPr>
          <w:p w14:paraId="1BE85F37" w14:textId="77777777" w:rsidR="007D42FE" w:rsidRPr="00AE3822" w:rsidRDefault="007D42FE" w:rsidP="00B83BA0">
            <w:pPr>
              <w:pStyle w:val="numbered"/>
              <w:numPr>
                <w:ilvl w:val="0"/>
                <w:numId w:val="0"/>
              </w:numPr>
              <w:tabs>
                <w:tab w:val="clear" w:pos="425"/>
              </w:tabs>
              <w:spacing w:line="240" w:lineRule="auto"/>
              <w:jc w:val="right"/>
              <w:rPr>
                <w:sz w:val="14"/>
              </w:rPr>
            </w:pPr>
            <w:r w:rsidRPr="00AE3822">
              <w:rPr>
                <w:sz w:val="14"/>
              </w:rPr>
              <w:t>&gt;1,65</w:t>
            </w:r>
          </w:p>
        </w:tc>
      </w:tr>
      <w:tr w:rsidR="007D42FE" w:rsidRPr="00AE3822" w14:paraId="79A1DB7C" w14:textId="77777777" w:rsidTr="00B83BA0">
        <w:tc>
          <w:tcPr>
            <w:tcW w:w="3127" w:type="dxa"/>
            <w:shd w:val="clear" w:color="auto" w:fill="auto"/>
          </w:tcPr>
          <w:p w14:paraId="66E194FE" w14:textId="77777777" w:rsidR="007D42FE" w:rsidRPr="00AE3822" w:rsidRDefault="007D42FE" w:rsidP="00B83BA0">
            <w:pPr>
              <w:pStyle w:val="numbered"/>
              <w:numPr>
                <w:ilvl w:val="0"/>
                <w:numId w:val="0"/>
              </w:numPr>
              <w:tabs>
                <w:tab w:val="clear" w:pos="425"/>
              </w:tabs>
              <w:spacing w:line="240" w:lineRule="auto"/>
              <w:rPr>
                <w:sz w:val="14"/>
              </w:rPr>
            </w:pPr>
            <w:r w:rsidRPr="00AE3822">
              <w:rPr>
                <w:sz w:val="14"/>
              </w:rPr>
              <w:t>Necesar fonduri proprii, în %</w:t>
            </w:r>
            <w:r>
              <w:rPr>
                <w:sz w:val="14"/>
              </w:rPr>
              <w:t xml:space="preserve"> din</w:t>
            </w:r>
            <w:r w:rsidRPr="00AE3822">
              <w:rPr>
                <w:sz w:val="14"/>
              </w:rPr>
              <w:t xml:space="preserve"> RWA</w:t>
            </w:r>
          </w:p>
        </w:tc>
        <w:tc>
          <w:tcPr>
            <w:tcW w:w="1276" w:type="dxa"/>
            <w:shd w:val="clear" w:color="auto" w:fill="auto"/>
          </w:tcPr>
          <w:p w14:paraId="771DBBF9" w14:textId="77777777" w:rsidR="007D42FE" w:rsidRPr="00AE3822" w:rsidRDefault="007D42FE" w:rsidP="00B83BA0">
            <w:pPr>
              <w:pStyle w:val="numbered"/>
              <w:numPr>
                <w:ilvl w:val="0"/>
                <w:numId w:val="0"/>
              </w:numPr>
              <w:tabs>
                <w:tab w:val="clear" w:pos="425"/>
              </w:tabs>
              <w:spacing w:line="240" w:lineRule="auto"/>
              <w:jc w:val="right"/>
              <w:rPr>
                <w:sz w:val="14"/>
              </w:rPr>
            </w:pPr>
            <w:r w:rsidRPr="00AE3822">
              <w:rPr>
                <w:sz w:val="14"/>
              </w:rPr>
              <w:t>0 – 0,5%</w:t>
            </w:r>
          </w:p>
        </w:tc>
        <w:tc>
          <w:tcPr>
            <w:tcW w:w="1276" w:type="dxa"/>
            <w:shd w:val="clear" w:color="auto" w:fill="auto"/>
          </w:tcPr>
          <w:p w14:paraId="4AC12848" w14:textId="77777777" w:rsidR="007D42FE" w:rsidRPr="00AE3822" w:rsidRDefault="007D42FE" w:rsidP="00B83BA0">
            <w:pPr>
              <w:pStyle w:val="numbered"/>
              <w:numPr>
                <w:ilvl w:val="0"/>
                <w:numId w:val="0"/>
              </w:numPr>
              <w:tabs>
                <w:tab w:val="clear" w:pos="425"/>
              </w:tabs>
              <w:spacing w:line="240" w:lineRule="auto"/>
              <w:jc w:val="right"/>
              <w:rPr>
                <w:sz w:val="14"/>
              </w:rPr>
            </w:pPr>
            <w:r w:rsidRPr="00AE3822">
              <w:rPr>
                <w:sz w:val="14"/>
              </w:rPr>
              <w:t>0,5% - 1%</w:t>
            </w:r>
          </w:p>
        </w:tc>
        <w:tc>
          <w:tcPr>
            <w:tcW w:w="1275" w:type="dxa"/>
            <w:shd w:val="clear" w:color="auto" w:fill="auto"/>
          </w:tcPr>
          <w:p w14:paraId="6F33307D" w14:textId="77777777" w:rsidR="007D42FE" w:rsidRPr="00AE3822" w:rsidRDefault="007D42FE" w:rsidP="00B83BA0">
            <w:pPr>
              <w:pStyle w:val="numbered"/>
              <w:numPr>
                <w:ilvl w:val="0"/>
                <w:numId w:val="0"/>
              </w:numPr>
              <w:tabs>
                <w:tab w:val="clear" w:pos="425"/>
              </w:tabs>
              <w:spacing w:line="240" w:lineRule="auto"/>
              <w:jc w:val="right"/>
              <w:rPr>
                <w:sz w:val="14"/>
              </w:rPr>
            </w:pPr>
            <w:r w:rsidRPr="00AE3822">
              <w:rPr>
                <w:sz w:val="14"/>
              </w:rPr>
              <w:t>1% - 2%</w:t>
            </w:r>
          </w:p>
        </w:tc>
        <w:tc>
          <w:tcPr>
            <w:tcW w:w="1276" w:type="dxa"/>
            <w:shd w:val="clear" w:color="auto" w:fill="auto"/>
          </w:tcPr>
          <w:p w14:paraId="19D81F8D" w14:textId="77777777" w:rsidR="007D42FE" w:rsidRPr="00AE3822" w:rsidRDefault="007D42FE" w:rsidP="00B83BA0">
            <w:pPr>
              <w:pStyle w:val="numbered"/>
              <w:numPr>
                <w:ilvl w:val="0"/>
                <w:numId w:val="0"/>
              </w:numPr>
              <w:tabs>
                <w:tab w:val="clear" w:pos="425"/>
              </w:tabs>
              <w:spacing w:line="240" w:lineRule="auto"/>
              <w:jc w:val="right"/>
              <w:rPr>
                <w:sz w:val="14"/>
              </w:rPr>
            </w:pPr>
            <w:r w:rsidRPr="00AE3822">
              <w:rPr>
                <w:sz w:val="14"/>
              </w:rPr>
              <w:t>2% - 3%</w:t>
            </w:r>
          </w:p>
        </w:tc>
        <w:tc>
          <w:tcPr>
            <w:tcW w:w="1098" w:type="dxa"/>
            <w:shd w:val="clear" w:color="auto" w:fill="auto"/>
          </w:tcPr>
          <w:p w14:paraId="133F2CAE" w14:textId="77777777" w:rsidR="007D42FE" w:rsidRPr="00AE3822" w:rsidRDefault="007D42FE" w:rsidP="00B83BA0">
            <w:pPr>
              <w:pStyle w:val="numbered"/>
              <w:numPr>
                <w:ilvl w:val="0"/>
                <w:numId w:val="0"/>
              </w:numPr>
              <w:tabs>
                <w:tab w:val="clear" w:pos="425"/>
              </w:tabs>
              <w:spacing w:line="240" w:lineRule="auto"/>
              <w:jc w:val="right"/>
              <w:rPr>
                <w:sz w:val="14"/>
              </w:rPr>
            </w:pPr>
            <w:r w:rsidRPr="00AE3822">
              <w:rPr>
                <w:sz w:val="14"/>
              </w:rPr>
              <w:t>3% - 4%</w:t>
            </w:r>
          </w:p>
        </w:tc>
      </w:tr>
      <w:tr w:rsidR="007D42FE" w:rsidRPr="00AE3822" w14:paraId="1CF44E4D" w14:textId="77777777" w:rsidTr="00B83BA0">
        <w:tc>
          <w:tcPr>
            <w:tcW w:w="3127" w:type="dxa"/>
            <w:shd w:val="clear" w:color="auto" w:fill="auto"/>
          </w:tcPr>
          <w:p w14:paraId="516E20CD" w14:textId="77777777" w:rsidR="007D42FE" w:rsidRPr="00AE3822" w:rsidRDefault="007D42FE" w:rsidP="00B83BA0">
            <w:pPr>
              <w:pStyle w:val="numbered"/>
              <w:numPr>
                <w:ilvl w:val="0"/>
                <w:numId w:val="0"/>
              </w:numPr>
              <w:tabs>
                <w:tab w:val="clear" w:pos="425"/>
              </w:tabs>
              <w:spacing w:line="240" w:lineRule="auto"/>
              <w:rPr>
                <w:sz w:val="14"/>
              </w:rPr>
            </w:pPr>
            <w:r w:rsidRPr="00AE3822">
              <w:rPr>
                <w:sz w:val="14"/>
              </w:rPr>
              <w:t>Indice HHI (concentrare sector</w:t>
            </w:r>
            <w:r>
              <w:rPr>
                <w:sz w:val="14"/>
              </w:rPr>
              <w:t xml:space="preserve"> în RWA</w:t>
            </w:r>
            <w:r w:rsidRPr="00AE3822">
              <w:rPr>
                <w:sz w:val="14"/>
              </w:rPr>
              <w:t>)</w:t>
            </w:r>
          </w:p>
        </w:tc>
        <w:tc>
          <w:tcPr>
            <w:tcW w:w="1276" w:type="dxa"/>
            <w:shd w:val="clear" w:color="auto" w:fill="auto"/>
          </w:tcPr>
          <w:p w14:paraId="08ED42F3" w14:textId="77777777" w:rsidR="007D42FE" w:rsidRPr="00AE3822" w:rsidRDefault="007D42FE" w:rsidP="00B83BA0">
            <w:pPr>
              <w:pStyle w:val="numbered"/>
              <w:numPr>
                <w:ilvl w:val="0"/>
                <w:numId w:val="0"/>
              </w:numPr>
              <w:tabs>
                <w:tab w:val="clear" w:pos="425"/>
              </w:tabs>
              <w:spacing w:line="240" w:lineRule="auto"/>
              <w:jc w:val="right"/>
              <w:rPr>
                <w:sz w:val="14"/>
              </w:rPr>
            </w:pPr>
            <w:r w:rsidRPr="00AE3822">
              <w:rPr>
                <w:sz w:val="14"/>
              </w:rPr>
              <w:t>11,1% - 20,3%</w:t>
            </w:r>
          </w:p>
        </w:tc>
        <w:tc>
          <w:tcPr>
            <w:tcW w:w="1276" w:type="dxa"/>
            <w:shd w:val="clear" w:color="auto" w:fill="auto"/>
          </w:tcPr>
          <w:p w14:paraId="112E1C07" w14:textId="77777777" w:rsidR="007D42FE" w:rsidRPr="00AE3822" w:rsidRDefault="007D42FE" w:rsidP="00B83BA0">
            <w:pPr>
              <w:pStyle w:val="numbered"/>
              <w:numPr>
                <w:ilvl w:val="0"/>
                <w:numId w:val="0"/>
              </w:numPr>
              <w:tabs>
                <w:tab w:val="clear" w:pos="425"/>
              </w:tabs>
              <w:spacing w:line="240" w:lineRule="auto"/>
              <w:jc w:val="right"/>
              <w:rPr>
                <w:sz w:val="14"/>
              </w:rPr>
            </w:pPr>
            <w:r w:rsidRPr="00AE3822">
              <w:rPr>
                <w:sz w:val="14"/>
              </w:rPr>
              <w:t>20,3% - 25,8%</w:t>
            </w:r>
          </w:p>
        </w:tc>
        <w:tc>
          <w:tcPr>
            <w:tcW w:w="1275" w:type="dxa"/>
            <w:shd w:val="clear" w:color="auto" w:fill="auto"/>
          </w:tcPr>
          <w:p w14:paraId="30F5F16A" w14:textId="77777777" w:rsidR="007D42FE" w:rsidRPr="00AE3822" w:rsidRDefault="007D42FE" w:rsidP="00B83BA0">
            <w:pPr>
              <w:pStyle w:val="numbered"/>
              <w:numPr>
                <w:ilvl w:val="0"/>
                <w:numId w:val="0"/>
              </w:numPr>
              <w:tabs>
                <w:tab w:val="clear" w:pos="425"/>
              </w:tabs>
              <w:spacing w:line="240" w:lineRule="auto"/>
              <w:jc w:val="right"/>
              <w:rPr>
                <w:sz w:val="14"/>
              </w:rPr>
            </w:pPr>
            <w:r w:rsidRPr="00AE3822">
              <w:rPr>
                <w:sz w:val="14"/>
              </w:rPr>
              <w:t>25,8% - 41,7%</w:t>
            </w:r>
          </w:p>
        </w:tc>
        <w:tc>
          <w:tcPr>
            <w:tcW w:w="1276" w:type="dxa"/>
            <w:shd w:val="clear" w:color="auto" w:fill="auto"/>
          </w:tcPr>
          <w:p w14:paraId="663B442D" w14:textId="77777777" w:rsidR="007D42FE" w:rsidRPr="00AE3822" w:rsidRDefault="007D42FE" w:rsidP="00B83BA0">
            <w:pPr>
              <w:pStyle w:val="numbered"/>
              <w:numPr>
                <w:ilvl w:val="0"/>
                <w:numId w:val="0"/>
              </w:numPr>
              <w:tabs>
                <w:tab w:val="clear" w:pos="425"/>
              </w:tabs>
              <w:spacing w:line="240" w:lineRule="auto"/>
              <w:jc w:val="right"/>
              <w:rPr>
                <w:sz w:val="14"/>
              </w:rPr>
            </w:pPr>
            <w:r w:rsidRPr="00AE3822">
              <w:rPr>
                <w:sz w:val="14"/>
              </w:rPr>
              <w:t>41,7% - 67,4%</w:t>
            </w:r>
          </w:p>
        </w:tc>
        <w:tc>
          <w:tcPr>
            <w:tcW w:w="1098" w:type="dxa"/>
            <w:shd w:val="clear" w:color="auto" w:fill="auto"/>
          </w:tcPr>
          <w:p w14:paraId="0AB355EE" w14:textId="77777777" w:rsidR="007D42FE" w:rsidRPr="00AE3822" w:rsidRDefault="007D42FE" w:rsidP="00B83BA0">
            <w:pPr>
              <w:pStyle w:val="numbered"/>
              <w:numPr>
                <w:ilvl w:val="0"/>
                <w:numId w:val="0"/>
              </w:numPr>
              <w:tabs>
                <w:tab w:val="clear" w:pos="425"/>
              </w:tabs>
              <w:spacing w:line="240" w:lineRule="auto"/>
              <w:jc w:val="right"/>
              <w:rPr>
                <w:sz w:val="14"/>
              </w:rPr>
            </w:pPr>
            <w:r w:rsidRPr="00AE3822">
              <w:rPr>
                <w:sz w:val="14"/>
              </w:rPr>
              <w:t>&gt;67,4%</w:t>
            </w:r>
          </w:p>
        </w:tc>
      </w:tr>
      <w:tr w:rsidR="007D42FE" w:rsidRPr="00AE3822" w14:paraId="1CF2E055" w14:textId="77777777" w:rsidTr="00B83BA0">
        <w:tc>
          <w:tcPr>
            <w:tcW w:w="3127" w:type="dxa"/>
            <w:shd w:val="clear" w:color="auto" w:fill="auto"/>
          </w:tcPr>
          <w:p w14:paraId="636C9458" w14:textId="77777777" w:rsidR="007D42FE" w:rsidRPr="00AE3822" w:rsidRDefault="007D42FE" w:rsidP="00B83BA0">
            <w:pPr>
              <w:pStyle w:val="numbered"/>
              <w:numPr>
                <w:ilvl w:val="0"/>
                <w:numId w:val="0"/>
              </w:numPr>
              <w:tabs>
                <w:tab w:val="clear" w:pos="425"/>
              </w:tabs>
              <w:spacing w:line="240" w:lineRule="auto"/>
              <w:rPr>
                <w:sz w:val="14"/>
              </w:rPr>
            </w:pPr>
            <w:r w:rsidRPr="00AE3822">
              <w:rPr>
                <w:sz w:val="14"/>
              </w:rPr>
              <w:t>Necesar fonduri proprii, în %</w:t>
            </w:r>
            <w:r>
              <w:rPr>
                <w:sz w:val="14"/>
              </w:rPr>
              <w:t xml:space="preserve"> din</w:t>
            </w:r>
            <w:r w:rsidRPr="00AE3822">
              <w:rPr>
                <w:sz w:val="14"/>
              </w:rPr>
              <w:t xml:space="preserve"> RWA</w:t>
            </w:r>
          </w:p>
        </w:tc>
        <w:tc>
          <w:tcPr>
            <w:tcW w:w="1276" w:type="dxa"/>
            <w:shd w:val="clear" w:color="auto" w:fill="auto"/>
          </w:tcPr>
          <w:p w14:paraId="5783F2E5" w14:textId="77777777" w:rsidR="007D42FE" w:rsidRPr="00AE3822" w:rsidRDefault="007D42FE" w:rsidP="00B83BA0">
            <w:pPr>
              <w:pStyle w:val="numbered"/>
              <w:numPr>
                <w:ilvl w:val="0"/>
                <w:numId w:val="0"/>
              </w:numPr>
              <w:tabs>
                <w:tab w:val="clear" w:pos="425"/>
              </w:tabs>
              <w:spacing w:line="240" w:lineRule="auto"/>
              <w:jc w:val="right"/>
              <w:rPr>
                <w:sz w:val="14"/>
              </w:rPr>
            </w:pPr>
            <w:r w:rsidRPr="00AE3822">
              <w:rPr>
                <w:sz w:val="14"/>
              </w:rPr>
              <w:t>0% - 0,25%</w:t>
            </w:r>
          </w:p>
        </w:tc>
        <w:tc>
          <w:tcPr>
            <w:tcW w:w="1276" w:type="dxa"/>
            <w:shd w:val="clear" w:color="auto" w:fill="auto"/>
          </w:tcPr>
          <w:p w14:paraId="7C0A2FDA" w14:textId="77777777" w:rsidR="007D42FE" w:rsidRPr="00AE3822" w:rsidRDefault="007D42FE" w:rsidP="00B83BA0">
            <w:pPr>
              <w:pStyle w:val="numbered"/>
              <w:numPr>
                <w:ilvl w:val="0"/>
                <w:numId w:val="0"/>
              </w:numPr>
              <w:tabs>
                <w:tab w:val="clear" w:pos="425"/>
              </w:tabs>
              <w:spacing w:line="240" w:lineRule="auto"/>
              <w:jc w:val="right"/>
              <w:rPr>
                <w:sz w:val="14"/>
              </w:rPr>
            </w:pPr>
            <w:r w:rsidRPr="00AE3822">
              <w:rPr>
                <w:sz w:val="14"/>
              </w:rPr>
              <w:t>0,25% - 0,5%</w:t>
            </w:r>
          </w:p>
        </w:tc>
        <w:tc>
          <w:tcPr>
            <w:tcW w:w="1275" w:type="dxa"/>
            <w:shd w:val="clear" w:color="auto" w:fill="auto"/>
          </w:tcPr>
          <w:p w14:paraId="2DDAB748" w14:textId="77777777" w:rsidR="007D42FE" w:rsidRPr="00AE3822" w:rsidRDefault="007D42FE" w:rsidP="00B83BA0">
            <w:pPr>
              <w:pStyle w:val="numbered"/>
              <w:numPr>
                <w:ilvl w:val="0"/>
                <w:numId w:val="0"/>
              </w:numPr>
              <w:tabs>
                <w:tab w:val="clear" w:pos="425"/>
              </w:tabs>
              <w:spacing w:line="240" w:lineRule="auto"/>
              <w:jc w:val="right"/>
              <w:rPr>
                <w:sz w:val="14"/>
              </w:rPr>
            </w:pPr>
            <w:r w:rsidRPr="00AE3822">
              <w:rPr>
                <w:sz w:val="14"/>
              </w:rPr>
              <w:t>0,5% - 1%</w:t>
            </w:r>
          </w:p>
        </w:tc>
        <w:tc>
          <w:tcPr>
            <w:tcW w:w="1276" w:type="dxa"/>
            <w:shd w:val="clear" w:color="auto" w:fill="auto"/>
          </w:tcPr>
          <w:p w14:paraId="3AB60D03" w14:textId="77777777" w:rsidR="007D42FE" w:rsidRPr="00AE3822" w:rsidRDefault="007D42FE" w:rsidP="00B83BA0">
            <w:pPr>
              <w:pStyle w:val="numbered"/>
              <w:numPr>
                <w:ilvl w:val="0"/>
                <w:numId w:val="0"/>
              </w:numPr>
              <w:tabs>
                <w:tab w:val="clear" w:pos="425"/>
              </w:tabs>
              <w:spacing w:line="240" w:lineRule="auto"/>
              <w:jc w:val="right"/>
              <w:rPr>
                <w:sz w:val="14"/>
              </w:rPr>
            </w:pPr>
            <w:r w:rsidRPr="00AE3822">
              <w:rPr>
                <w:sz w:val="14"/>
              </w:rPr>
              <w:t>1% - 1,5%</w:t>
            </w:r>
          </w:p>
        </w:tc>
        <w:tc>
          <w:tcPr>
            <w:tcW w:w="1098" w:type="dxa"/>
            <w:shd w:val="clear" w:color="auto" w:fill="auto"/>
          </w:tcPr>
          <w:p w14:paraId="751E0D58" w14:textId="77777777" w:rsidR="007D42FE" w:rsidRPr="00AE3822" w:rsidRDefault="007D42FE" w:rsidP="00B83BA0">
            <w:pPr>
              <w:pStyle w:val="numbered"/>
              <w:numPr>
                <w:ilvl w:val="0"/>
                <w:numId w:val="0"/>
              </w:numPr>
              <w:tabs>
                <w:tab w:val="clear" w:pos="425"/>
              </w:tabs>
              <w:spacing w:line="240" w:lineRule="auto"/>
              <w:jc w:val="right"/>
              <w:rPr>
                <w:sz w:val="14"/>
              </w:rPr>
            </w:pPr>
            <w:r w:rsidRPr="00AE3822">
              <w:rPr>
                <w:sz w:val="14"/>
              </w:rPr>
              <w:t>1,5% - 2,8%</w:t>
            </w:r>
          </w:p>
        </w:tc>
      </w:tr>
    </w:tbl>
    <w:p w14:paraId="2C94DDFE" w14:textId="77777777" w:rsidR="007D42FE" w:rsidRPr="00AE3822" w:rsidRDefault="007D42FE" w:rsidP="007D42FE">
      <w:pPr>
        <w:pStyle w:val="numbered"/>
        <w:numPr>
          <w:ilvl w:val="1"/>
          <w:numId w:val="1"/>
        </w:numPr>
        <w:tabs>
          <w:tab w:val="clear" w:pos="425"/>
        </w:tabs>
        <w:spacing w:line="240" w:lineRule="auto"/>
      </w:pPr>
      <w:r w:rsidRPr="00AE3822">
        <w:t>Simulările de criză, precum și analiza rezultatelor sunt prezentate Comitetului de conducere a Băncii, Comitetului de</w:t>
      </w:r>
      <w:r>
        <w:t xml:space="preserve"> administrare a</w:t>
      </w:r>
      <w:r w:rsidRPr="00AE3822">
        <w:t xml:space="preserve"> risc</w:t>
      </w:r>
      <w:r>
        <w:t>urilor</w:t>
      </w:r>
      <w:r w:rsidRPr="00AE3822">
        <w:t xml:space="preserve"> al Băncii și Consiliului Băncii, care analizează implicațiile acestora din perspectiva apetitului la risc al Băncii.</w:t>
      </w:r>
    </w:p>
    <w:p w14:paraId="66152D31" w14:textId="77777777" w:rsidR="007D42FE" w:rsidRPr="00AE3822" w:rsidRDefault="007D42FE" w:rsidP="007D42FE">
      <w:pPr>
        <w:pStyle w:val="numbered"/>
        <w:numPr>
          <w:ilvl w:val="1"/>
          <w:numId w:val="1"/>
        </w:numPr>
        <w:tabs>
          <w:tab w:val="clear" w:pos="425"/>
        </w:tabs>
        <w:spacing w:line="240" w:lineRule="auto"/>
      </w:pPr>
      <w:r w:rsidRPr="00AE3822">
        <w:t>Rezultatele simulărilor de criză se raportează Comitetului de conducere a Băncii, Comitetului de</w:t>
      </w:r>
      <w:r>
        <w:t xml:space="preserve"> administrare a</w:t>
      </w:r>
      <w:r w:rsidRPr="00AE3822">
        <w:t xml:space="preserve"> risc</w:t>
      </w:r>
      <w:r>
        <w:t>urilor</w:t>
      </w:r>
      <w:r w:rsidRPr="00AE3822">
        <w:t xml:space="preserve"> al Băncii și Consiliului Băncii </w:t>
      </w:r>
      <w:r>
        <w:t>până la finele primului trimestru, pentru anul precedent</w:t>
      </w:r>
      <w:r w:rsidRPr="00AE3822">
        <w:t xml:space="preserve">. Rapoartele cu privire la simulările de criză trebuie să furnizeze organelor de conducere o imagine de ansamblu asupra riscurilor la care este expusă sau ar putea fi expusă Banca. Rapoartele privind rezultatele simulărilor de criză trebuie să atragă atenția asupra riscurilor potențiale, să prezinte principalele ipoteze ale scenariilor și să furnizeze recomandări pentru măsuri sau acțiuni de remediere. </w:t>
      </w:r>
    </w:p>
    <w:p w14:paraId="55739B6C" w14:textId="77777777" w:rsidR="007D42FE" w:rsidRPr="00AE3822" w:rsidRDefault="007D42FE" w:rsidP="007D42FE">
      <w:pPr>
        <w:pStyle w:val="numbered"/>
        <w:numPr>
          <w:ilvl w:val="1"/>
          <w:numId w:val="1"/>
        </w:numPr>
        <w:tabs>
          <w:tab w:val="clear" w:pos="425"/>
        </w:tabs>
        <w:spacing w:line="240" w:lineRule="auto"/>
      </w:pPr>
      <w:r w:rsidRPr="00AE3822">
        <w:t>Consiliul Băncii va lua măsuri în funcție de nivelul expunerii la risc determinat de simulările de criză, precum și în funcție de obiectivele și de toleranțele la risc stabilite în cadrul Băncii.</w:t>
      </w:r>
    </w:p>
    <w:p w14:paraId="4F1E6A48" w14:textId="77777777" w:rsidR="007D42FE" w:rsidRPr="00AE3822" w:rsidRDefault="007D42FE" w:rsidP="007D42FE">
      <w:pPr>
        <w:pStyle w:val="numbered"/>
        <w:numPr>
          <w:ilvl w:val="1"/>
          <w:numId w:val="1"/>
        </w:numPr>
        <w:tabs>
          <w:tab w:val="clear" w:pos="425"/>
        </w:tabs>
        <w:spacing w:line="240" w:lineRule="auto"/>
      </w:pPr>
      <w:r w:rsidRPr="00AE3822">
        <w:t>Banca va transmite Băncii Naționale a Moldovei informaţii cu privire la următoarele:</w:t>
      </w:r>
    </w:p>
    <w:p w14:paraId="5CE02326" w14:textId="77777777" w:rsidR="007D42FE" w:rsidRPr="00AE3822" w:rsidRDefault="007D42FE" w:rsidP="007D42FE">
      <w:pPr>
        <w:pStyle w:val="numbered"/>
        <w:numPr>
          <w:ilvl w:val="0"/>
          <w:numId w:val="0"/>
        </w:numPr>
        <w:tabs>
          <w:tab w:val="clear" w:pos="425"/>
        </w:tabs>
        <w:spacing w:before="0" w:line="240" w:lineRule="auto"/>
        <w:ind w:left="525"/>
      </w:pPr>
      <w:r w:rsidRPr="00AE3822">
        <w:t>a) rezultatul cantitativ al scenariilor analizate şi impactul asupra măsurilor cantitative cheie, inclusiv contul de profit şi pierdere, fonduri proprii interne şi reglementate, precum şi indicatori prudenţiali şi, în cadrul abordărilor integrate, impactul asupra poziţiei lichidităţii;</w:t>
      </w:r>
    </w:p>
    <w:p w14:paraId="1DB13E3A" w14:textId="77777777" w:rsidR="007D42FE" w:rsidRPr="00AE3822" w:rsidRDefault="007D42FE" w:rsidP="007D42FE">
      <w:pPr>
        <w:pStyle w:val="numbered"/>
        <w:numPr>
          <w:ilvl w:val="0"/>
          <w:numId w:val="0"/>
        </w:numPr>
        <w:tabs>
          <w:tab w:val="clear" w:pos="425"/>
        </w:tabs>
        <w:spacing w:before="0" w:line="240" w:lineRule="auto"/>
        <w:ind w:left="525"/>
      </w:pPr>
      <w:r w:rsidRPr="00AE3822">
        <w:t>b) explicarea modului în care rezultatele scenariului sunt relevante pentru modelul de afaceri al băncii, strategia, riscurile semnificative şi entităţile grupului vizate de ICAAP.</w:t>
      </w:r>
    </w:p>
    <w:p w14:paraId="33ACED3F" w14:textId="77777777" w:rsidR="007D42FE" w:rsidRPr="00AE3822" w:rsidRDefault="007D42FE" w:rsidP="007D42FE">
      <w:pPr>
        <w:pStyle w:val="numbered"/>
        <w:numPr>
          <w:ilvl w:val="1"/>
          <w:numId w:val="1"/>
        </w:numPr>
        <w:tabs>
          <w:tab w:val="clear" w:pos="425"/>
          <w:tab w:val="left" w:pos="7513"/>
        </w:tabs>
        <w:spacing w:line="240" w:lineRule="auto"/>
      </w:pPr>
      <w:r w:rsidRPr="00AE3822">
        <w:t>Auditul intern urmează să verifice şi să raporteze Consiliului Băncii periodic (cel puţin anual), eficienţa şi actualitatea parametrilor utilizaţi în simulările de criză.</w:t>
      </w:r>
    </w:p>
    <w:p w14:paraId="0C1649E1" w14:textId="77777777" w:rsidR="007D42FE" w:rsidRPr="00AE3822" w:rsidRDefault="007D42FE" w:rsidP="007D42FE">
      <w:pPr>
        <w:pStyle w:val="Titlu-1"/>
        <w:numPr>
          <w:ilvl w:val="0"/>
          <w:numId w:val="0"/>
        </w:numPr>
        <w:ind w:left="567"/>
        <w:jc w:val="center"/>
        <w:rPr>
          <w:sz w:val="24"/>
        </w:rPr>
      </w:pPr>
      <w:bookmarkStart w:id="9" w:name="_Toc6219236"/>
      <w:r w:rsidRPr="00AE3822">
        <w:rPr>
          <w:sz w:val="22"/>
        </w:rPr>
        <w:t xml:space="preserve">5. Efectuarea </w:t>
      </w:r>
      <w:r>
        <w:rPr>
          <w:sz w:val="22"/>
        </w:rPr>
        <w:t>simulărilor la criză</w:t>
      </w:r>
      <w:bookmarkEnd w:id="9"/>
    </w:p>
    <w:p w14:paraId="4E1CF4DC" w14:textId="77777777" w:rsidR="007D42FE" w:rsidRPr="00AE3822" w:rsidRDefault="007D42FE" w:rsidP="007D42FE">
      <w:pPr>
        <w:pStyle w:val="af4"/>
        <w:numPr>
          <w:ilvl w:val="0"/>
          <w:numId w:val="1"/>
        </w:numPr>
        <w:tabs>
          <w:tab w:val="left" w:pos="425"/>
        </w:tabs>
        <w:rPr>
          <w:vanish/>
        </w:rPr>
      </w:pPr>
    </w:p>
    <w:p w14:paraId="47EA77A2" w14:textId="77777777" w:rsidR="007D42FE" w:rsidRPr="00AE3822" w:rsidRDefault="007D42FE" w:rsidP="007D42FE">
      <w:pPr>
        <w:pStyle w:val="numbered"/>
        <w:numPr>
          <w:ilvl w:val="1"/>
          <w:numId w:val="1"/>
        </w:numPr>
        <w:tabs>
          <w:tab w:val="clear" w:pos="425"/>
          <w:tab w:val="left" w:pos="7513"/>
        </w:tabs>
        <w:spacing w:line="240" w:lineRule="auto"/>
      </w:pPr>
      <w:r w:rsidRPr="00AE3822">
        <w:t xml:space="preserve">În procesul simulării de criză se efectuează verificarea veridicităţii şi actualităţii informaţiei în baza căreia se va efectua simularea de criză, precum şi a continuităţii datelor (neîntreruperea şirului de date), comparabilităţii datelor (continuitatea aplicării metodelor de calcul a indicatorilor). Se recomandă utilizarea următoarelor surse de informaţie: </w:t>
      </w:r>
    </w:p>
    <w:p w14:paraId="08FC6848"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 xml:space="preserve">Materialele publicate în mass-media. </w:t>
      </w:r>
    </w:p>
    <w:p w14:paraId="5639513F"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Materialele publicate pe paginile oficiale ale agenţiilor informaţionale şi ale companiilor.</w:t>
      </w:r>
    </w:p>
    <w:p w14:paraId="6FEEB57A"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Informaţia privind situaţiile excepţionale (de stres), care au avut loc atât în Republica Moldova, cât şi în alte ţări, acumulată de Bancă.</w:t>
      </w:r>
    </w:p>
    <w:p w14:paraId="33B4F01F"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Rapoartele interne ale Băncii şi altă informaţie relevantă.</w:t>
      </w:r>
    </w:p>
    <w:p w14:paraId="3F6CB731" w14:textId="77777777" w:rsidR="007D42FE" w:rsidRPr="00AE3822" w:rsidRDefault="007D42FE" w:rsidP="007D42FE">
      <w:pPr>
        <w:pStyle w:val="numbered"/>
        <w:numPr>
          <w:ilvl w:val="1"/>
          <w:numId w:val="1"/>
        </w:numPr>
        <w:tabs>
          <w:tab w:val="clear" w:pos="425"/>
          <w:tab w:val="left" w:pos="7513"/>
        </w:tabs>
        <w:spacing w:line="240" w:lineRule="auto"/>
      </w:pPr>
      <w:r w:rsidRPr="00AE3822">
        <w:lastRenderedPageBreak/>
        <w:t xml:space="preserve">Simulările de criză se efectuează în conformitate cu Programul cu privire la simulările de criză, care va fi actualizat anual. </w:t>
      </w:r>
      <w:r w:rsidRPr="00B83BA0">
        <w:rPr>
          <w:b/>
        </w:rPr>
        <w:t>Programul cu privire la simulările de criză</w:t>
      </w:r>
      <w:r w:rsidRPr="00AE3822">
        <w:t xml:space="preserve"> va fi aprobat de Comitetul de conducere al Băncii.</w:t>
      </w:r>
    </w:p>
    <w:p w14:paraId="48BCBC26" w14:textId="77777777" w:rsidR="007D42FE" w:rsidRPr="00AE3822" w:rsidRDefault="007D42FE" w:rsidP="007D42FE">
      <w:pPr>
        <w:pStyle w:val="numbered"/>
        <w:numPr>
          <w:ilvl w:val="0"/>
          <w:numId w:val="0"/>
        </w:numPr>
        <w:tabs>
          <w:tab w:val="clear" w:pos="425"/>
        </w:tabs>
        <w:spacing w:before="0" w:line="240" w:lineRule="auto"/>
        <w:ind w:left="567"/>
      </w:pPr>
      <w:r w:rsidRPr="00AE3822">
        <w:t>Programul cu privire la simulările de criză va conține informații cu privire la următoarele aspecte:</w:t>
      </w:r>
    </w:p>
    <w:p w14:paraId="0B8AE67C" w14:textId="77777777" w:rsidR="007D42FE" w:rsidRPr="00AE3822" w:rsidRDefault="007D42FE" w:rsidP="007D42FE">
      <w:pPr>
        <w:pStyle w:val="numbered"/>
        <w:numPr>
          <w:ilvl w:val="0"/>
          <w:numId w:val="0"/>
        </w:numPr>
        <w:spacing w:before="0" w:line="240" w:lineRule="auto"/>
        <w:ind w:left="567"/>
      </w:pPr>
      <w:r w:rsidRPr="00AE3822">
        <w:t>a) analiza domeniilor de afaceri, tipurile de risc, precum și componentele separate ale portofoliilor și liniilor de afaceri;</w:t>
      </w:r>
    </w:p>
    <w:p w14:paraId="6AB8CD01" w14:textId="77777777" w:rsidR="007D42FE" w:rsidRPr="00AE3822" w:rsidRDefault="007D42FE" w:rsidP="007D42FE">
      <w:pPr>
        <w:pStyle w:val="numbered"/>
        <w:numPr>
          <w:ilvl w:val="0"/>
          <w:numId w:val="0"/>
        </w:numPr>
        <w:spacing w:before="0" w:line="240" w:lineRule="auto"/>
        <w:ind w:left="567"/>
      </w:pPr>
      <w:r w:rsidRPr="00AE3822">
        <w:t>b) mențiuni cu privire la interdependența dintre riscuri;</w:t>
      </w:r>
    </w:p>
    <w:p w14:paraId="4E9D94C6" w14:textId="77777777" w:rsidR="007D42FE" w:rsidRPr="00AE3822" w:rsidRDefault="007D42FE" w:rsidP="007D42FE">
      <w:pPr>
        <w:pStyle w:val="numbered"/>
        <w:numPr>
          <w:ilvl w:val="0"/>
          <w:numId w:val="0"/>
        </w:numPr>
        <w:spacing w:before="0" w:line="240" w:lineRule="auto"/>
        <w:ind w:left="567"/>
      </w:pPr>
      <w:r w:rsidRPr="00AE3822">
        <w:t>c) un mecanism flexibil care va permite modelarea unei varietăți de testări la stres;</w:t>
      </w:r>
    </w:p>
    <w:p w14:paraId="0E6161F9" w14:textId="77777777" w:rsidR="007D42FE" w:rsidRPr="00AE3822" w:rsidRDefault="007D42FE" w:rsidP="007D42FE">
      <w:pPr>
        <w:pStyle w:val="numbered"/>
        <w:numPr>
          <w:ilvl w:val="0"/>
          <w:numId w:val="0"/>
        </w:numPr>
        <w:spacing w:before="0" w:line="240" w:lineRule="auto"/>
        <w:ind w:left="567"/>
      </w:pPr>
      <w:r w:rsidRPr="00AE3822">
        <w:t>d) date care reflectă activitățile băncii, în vederea obținerii unei imagini complexe referitor la rezistența băncii la potențiale șocuri</w:t>
      </w:r>
      <w:r>
        <w:t>;</w:t>
      </w:r>
    </w:p>
    <w:p w14:paraId="48F85277" w14:textId="77777777" w:rsidR="007D42FE" w:rsidRPr="00AE3822" w:rsidRDefault="007D42FE" w:rsidP="007D42FE">
      <w:pPr>
        <w:pStyle w:val="numbered"/>
        <w:numPr>
          <w:ilvl w:val="0"/>
          <w:numId w:val="0"/>
        </w:numPr>
        <w:spacing w:before="0" w:line="240" w:lineRule="auto"/>
        <w:ind w:left="567"/>
      </w:pPr>
      <w:r w:rsidRPr="00AE3822">
        <w:t>e) scopul fiecărei componente a programului.</w:t>
      </w:r>
    </w:p>
    <w:p w14:paraId="7980843B" w14:textId="77777777" w:rsidR="007D42FE" w:rsidRPr="00AE3822" w:rsidRDefault="007D42FE" w:rsidP="007D42FE">
      <w:pPr>
        <w:pStyle w:val="numbered"/>
        <w:numPr>
          <w:ilvl w:val="1"/>
          <w:numId w:val="1"/>
        </w:numPr>
        <w:spacing w:before="0" w:line="240" w:lineRule="auto"/>
      </w:pPr>
      <w:r w:rsidRPr="00AE3822">
        <w:t>Pentru fiecare repriză a simulărilor de criză, Banca documentează ipotezele şi elementele fundamentale ale exerciţiului. Acestea vor include raţionamentele şi hotărârile care stau la baza scenariilor alese şi sensibilitatea rezultatelor în funcţie de tipul şi severitatea scenariilor. O evaluare a unor astfel de ipoteze trebuie efectuată de către bancă în mod regulat sau în funcţie de evoluţia condiţiilor externe.</w:t>
      </w:r>
    </w:p>
    <w:p w14:paraId="525DC5F1" w14:textId="77777777" w:rsidR="007D42FE" w:rsidRPr="00AE3822" w:rsidRDefault="007D42FE" w:rsidP="007D42FE">
      <w:pPr>
        <w:pStyle w:val="numbered"/>
        <w:numPr>
          <w:ilvl w:val="1"/>
          <w:numId w:val="1"/>
        </w:numPr>
        <w:tabs>
          <w:tab w:val="clear" w:pos="425"/>
          <w:tab w:val="left" w:pos="7513"/>
        </w:tabs>
        <w:spacing w:before="0" w:line="240" w:lineRule="auto"/>
      </w:pPr>
      <w:r w:rsidRPr="00AE3822">
        <w:t xml:space="preserve">Programul cu privire la simulările de criză va conține evaluarea: </w:t>
      </w:r>
    </w:p>
    <w:p w14:paraId="727F87CA" w14:textId="77777777" w:rsidR="007D42FE" w:rsidRPr="00AE3822" w:rsidRDefault="007D42FE" w:rsidP="007D42FE">
      <w:pPr>
        <w:widowControl/>
        <w:adjustRightInd/>
        <w:spacing w:before="0" w:line="240" w:lineRule="auto"/>
        <w:ind w:left="567"/>
        <w:jc w:val="left"/>
        <w:textAlignment w:val="auto"/>
        <w:rPr>
          <w:lang w:eastAsia="en-US"/>
        </w:rPr>
      </w:pPr>
      <w:r w:rsidRPr="00AE3822">
        <w:rPr>
          <w:lang w:eastAsia="en-US"/>
        </w:rPr>
        <w:t xml:space="preserve">1) măsurii în care simulările de criză sunt integrate în cadrul de administrare a riscurilor al băncii; </w:t>
      </w:r>
    </w:p>
    <w:p w14:paraId="21893709" w14:textId="77777777" w:rsidR="007D42FE" w:rsidRPr="00AE3822" w:rsidRDefault="007D42FE" w:rsidP="007D42FE">
      <w:pPr>
        <w:widowControl/>
        <w:adjustRightInd/>
        <w:spacing w:before="0" w:line="240" w:lineRule="auto"/>
        <w:ind w:left="567"/>
        <w:jc w:val="left"/>
        <w:textAlignment w:val="auto"/>
        <w:rPr>
          <w:lang w:eastAsia="en-US"/>
        </w:rPr>
      </w:pPr>
      <w:r w:rsidRPr="00AE3822">
        <w:rPr>
          <w:lang w:eastAsia="en-US"/>
        </w:rPr>
        <w:t xml:space="preserve">2) capacității și infrastructurii băncii, inclusiv a datelor, de a implementa programul de simulare de criză pe linii de activitate; </w:t>
      </w:r>
    </w:p>
    <w:p w14:paraId="2811286A" w14:textId="77777777" w:rsidR="007D42FE" w:rsidRPr="00AE3822" w:rsidRDefault="007D42FE" w:rsidP="007D42FE">
      <w:pPr>
        <w:widowControl/>
        <w:adjustRightInd/>
        <w:spacing w:before="0" w:line="240" w:lineRule="auto"/>
        <w:ind w:left="567"/>
        <w:jc w:val="left"/>
        <w:textAlignment w:val="auto"/>
        <w:rPr>
          <w:lang w:eastAsia="en-US"/>
        </w:rPr>
      </w:pPr>
      <w:r w:rsidRPr="00AE3822">
        <w:rPr>
          <w:lang w:eastAsia="en-US"/>
        </w:rPr>
        <w:t xml:space="preserve">3) gradului de implicare a organului de conducere în programe de simulare de criză; și </w:t>
      </w:r>
    </w:p>
    <w:p w14:paraId="354843AC" w14:textId="77777777" w:rsidR="007D42FE" w:rsidRPr="00AE3822" w:rsidRDefault="007D42FE" w:rsidP="007D42FE">
      <w:pPr>
        <w:widowControl/>
        <w:adjustRightInd/>
        <w:spacing w:before="0" w:line="240" w:lineRule="auto"/>
        <w:ind w:left="567"/>
        <w:jc w:val="left"/>
        <w:textAlignment w:val="auto"/>
        <w:rPr>
          <w:lang w:eastAsia="en-US"/>
        </w:rPr>
      </w:pPr>
      <w:r w:rsidRPr="00AE3822">
        <w:rPr>
          <w:lang w:eastAsia="en-US"/>
        </w:rPr>
        <w:t xml:space="preserve">4) integrării simulărilor de criză și a rezultatelor acestora în procesul decizional din cadrul băncii. </w:t>
      </w:r>
    </w:p>
    <w:p w14:paraId="3058FD2B" w14:textId="77777777" w:rsidR="007D42FE" w:rsidRPr="00AE3822" w:rsidRDefault="007D42FE" w:rsidP="007D42FE">
      <w:pPr>
        <w:pStyle w:val="numbered"/>
        <w:numPr>
          <w:ilvl w:val="1"/>
          <w:numId w:val="1"/>
        </w:numPr>
        <w:tabs>
          <w:tab w:val="clear" w:pos="425"/>
        </w:tabs>
        <w:spacing w:line="240" w:lineRule="auto"/>
      </w:pPr>
      <w:r w:rsidRPr="00AE3822">
        <w:t>În cadrul efectuării simulărilor de criză în B.C. Moldindconbank S.A., se perfectează Raportul cu privire la simulările de criză care va include cel puţin următoarele:</w:t>
      </w:r>
    </w:p>
    <w:p w14:paraId="60F532BC"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Tipurile riscurilor la care este expusă Banca în cazul realizării situaţiilor de criză, analiza dinamicii factorilor de risc (ex. valoarea maximă / minimă, diferenţa între valoarea la începutul şi finele perioadei, etc.) sfera de cuprindere a expunerii şi formularea simulărilor de criză;</w:t>
      </w:r>
    </w:p>
    <w:p w14:paraId="39A84784"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Efectele financiare posibile aferente fiecărei simulări de criză (fiecărui scenariu) şi aprecierea gradului de asigurare a Băncii cu fonduri proprii în cazul respectiv;</w:t>
      </w:r>
    </w:p>
    <w:p w14:paraId="07CC580A"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Recomandările de asigurare a continuităţii activităţii Băncii în situaţiile excepţionale, inclusiv sursele alternative de finanţare, în cazul în care se atestă o diminuare considerabilă a indicatorilor economici sau de suficiență a ratei fondurilor proprii ale Băncii, ajungând sub limitele stabilite de legislația în vigoare;</w:t>
      </w:r>
    </w:p>
    <w:p w14:paraId="455A3D3E"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Necesitatea adoptării, actualizării, ajustării limitelor interne în scopul diminuării expunerii Băncii la risc.</w:t>
      </w:r>
    </w:p>
    <w:p w14:paraId="31EC438C" w14:textId="77777777" w:rsidR="007D42FE" w:rsidRPr="00AE3822" w:rsidRDefault="007D42FE" w:rsidP="007D42FE">
      <w:pPr>
        <w:pStyle w:val="numbered"/>
        <w:numPr>
          <w:ilvl w:val="1"/>
          <w:numId w:val="1"/>
        </w:numPr>
        <w:tabs>
          <w:tab w:val="clear" w:pos="425"/>
        </w:tabs>
        <w:spacing w:line="240" w:lineRule="auto"/>
      </w:pPr>
      <w:r w:rsidRPr="00AE3822">
        <w:t>Simularea de criză va cuprinde evenimentele excepţionale dar probabile aferente diferitor clase de risc, inclusiv riscul de creditare, riscul imaginii, riscul de piaţă, riscul de concentrare, riscul de lichiditate, şi riscul operaţional. În scopul descrierii evenimentelor excepţionale pot fi utilizate valorile maxime / minime ale factorilor de risc înregistrate în anumite intervale de timp (ultimii 2, 3, 5, 10 ani).</w:t>
      </w:r>
    </w:p>
    <w:p w14:paraId="4FE82B66" w14:textId="77777777" w:rsidR="007D42FE" w:rsidRPr="00AE3822" w:rsidRDefault="007D42FE" w:rsidP="007D42FE">
      <w:pPr>
        <w:pStyle w:val="numbered"/>
        <w:numPr>
          <w:ilvl w:val="1"/>
          <w:numId w:val="1"/>
        </w:numPr>
        <w:tabs>
          <w:tab w:val="clear" w:pos="425"/>
        </w:tabs>
        <w:spacing w:line="240" w:lineRule="auto"/>
      </w:pPr>
      <w:r w:rsidRPr="00AE3822">
        <w:t>În cadrul simulărilor de criză se efectuează estimarea efectelor financiare posibile aferente situaţiilor de criză în conformitate cu metodele şi principiile prevăzute de prezentul Regulament. Această estimare poate include, dar nu se limitează la:</w:t>
      </w:r>
    </w:p>
    <w:p w14:paraId="18D5C438"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Analiza sensibilităţii valorii fondurilor proprii faţă de factorii de risc.</w:t>
      </w:r>
    </w:p>
    <w:p w14:paraId="5BD55BDA"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Aprecierea capacităţii fondurilor proprii ale Băncii de a absorbi pierderile mari potenţiale.</w:t>
      </w:r>
    </w:p>
    <w:p w14:paraId="2331AD4A"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Estimarea efectului modificării factorilor de risc asupra bilanţului şi / sau raportului privind rezultatele financiare în scopul estimării pierderilor potenţiale ale Băncii în urma declanşării situaţiei excepţionale.</w:t>
      </w:r>
    </w:p>
    <w:p w14:paraId="43D1A35C" w14:textId="77777777" w:rsidR="007D42FE" w:rsidRPr="00AE3822" w:rsidRDefault="007D42FE" w:rsidP="007D42FE">
      <w:pPr>
        <w:pStyle w:val="numbered"/>
        <w:numPr>
          <w:ilvl w:val="1"/>
          <w:numId w:val="1"/>
        </w:numPr>
        <w:tabs>
          <w:tab w:val="clear" w:pos="425"/>
        </w:tabs>
        <w:spacing w:line="240" w:lineRule="auto"/>
      </w:pPr>
      <w:r w:rsidRPr="00AE3822">
        <w:t>Recomandările de asigurare a continuităţii activităţii Băncii în situaţii excepţionale pot să cuprindă următoarele:</w:t>
      </w:r>
    </w:p>
    <w:p w14:paraId="5C74D218"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Recomandări organizaţionale în situaţii excepţionale;</w:t>
      </w:r>
    </w:p>
    <w:p w14:paraId="08ACBC1D"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Recomandări de marketing în situaţii excepţionale;</w:t>
      </w:r>
    </w:p>
    <w:p w14:paraId="65B94C65"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 xml:space="preserve">Recomandări privind stabilirea limitelor de tranzacţionare; </w:t>
      </w:r>
    </w:p>
    <w:p w14:paraId="10B4B0CF"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Recomandări de prestare a serviciilor în situaţii excepţionale;</w:t>
      </w:r>
    </w:p>
    <w:p w14:paraId="7EEFC12C"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Recomandări de mobilizare a surselor de finanţare şi de minimizare a pierderilor în situaţii excepţionale;</w:t>
      </w:r>
    </w:p>
    <w:p w14:paraId="4ED2BC3B"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Recomandări privind relaţiile cu publicul în situaţii excepţionale.</w:t>
      </w:r>
    </w:p>
    <w:p w14:paraId="058BF808" w14:textId="77777777" w:rsidR="007D42FE" w:rsidRPr="00AE3822" w:rsidRDefault="007D42FE" w:rsidP="007D42FE">
      <w:pPr>
        <w:pStyle w:val="numbered"/>
        <w:numPr>
          <w:ilvl w:val="2"/>
          <w:numId w:val="1"/>
        </w:numPr>
        <w:tabs>
          <w:tab w:val="clear" w:pos="425"/>
        </w:tabs>
        <w:spacing w:line="240" w:lineRule="auto"/>
      </w:pPr>
      <w:r w:rsidRPr="00AE3822">
        <w:t>Recomandările organizaţionale în situaţii excepţionale</w:t>
      </w:r>
      <w:r w:rsidRPr="00AE3822" w:rsidDel="004822B4">
        <w:t xml:space="preserve"> </w:t>
      </w:r>
      <w:r w:rsidRPr="00AE3822">
        <w:t>pot să includă:</w:t>
      </w:r>
    </w:p>
    <w:p w14:paraId="65B70127"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Împuternicirea persoanelor responsabile de a lua deciziile operative în cazul situaţiei excepţionale</w:t>
      </w:r>
      <w:r>
        <w:t>;</w:t>
      </w:r>
      <w:r w:rsidRPr="00AE3822">
        <w:t xml:space="preserve"> </w:t>
      </w:r>
    </w:p>
    <w:p w14:paraId="38B4227D"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lastRenderedPageBreak/>
        <w:t>Ordinea documentării deciziilor persoanelor împuternicite</w:t>
      </w:r>
      <w:r>
        <w:t>;</w:t>
      </w:r>
    </w:p>
    <w:p w14:paraId="719BEFC5"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Lista persoanelor care dublează funcţiile managerilor cheie în cazul situaţiilor excepţionale şi lista documentelor normative interne respective</w:t>
      </w:r>
      <w:r>
        <w:t>;</w:t>
      </w:r>
      <w:r w:rsidRPr="00AE3822">
        <w:t xml:space="preserve"> </w:t>
      </w:r>
    </w:p>
    <w:p w14:paraId="064A5B05"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Lista subdiviziunilor care dublează funcţiile altor subdiviziuni în cazul situaţiilor excepţionale şi lista documentelor normative interne respective</w:t>
      </w:r>
      <w:r>
        <w:t>;</w:t>
      </w:r>
    </w:p>
    <w:p w14:paraId="6D928B6E"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Modificările admisibile ale Business-planului reieşind din capacităţile existente ale Băncii în situaţiile excepţionale.</w:t>
      </w:r>
    </w:p>
    <w:p w14:paraId="29FBF924" w14:textId="77777777" w:rsidR="007D42FE" w:rsidRPr="00AE3822" w:rsidRDefault="007D42FE" w:rsidP="007D42FE">
      <w:pPr>
        <w:pStyle w:val="numbered"/>
        <w:numPr>
          <w:ilvl w:val="2"/>
          <w:numId w:val="1"/>
        </w:numPr>
        <w:tabs>
          <w:tab w:val="clear" w:pos="425"/>
        </w:tabs>
        <w:spacing w:line="240" w:lineRule="auto"/>
      </w:pPr>
      <w:r w:rsidRPr="00AE3822">
        <w:t>Recomandările operative de marketing în situaţii excepţionale pot să</w:t>
      </w:r>
      <w:r w:rsidRPr="00AE3822" w:rsidDel="00467B6D">
        <w:t xml:space="preserve"> </w:t>
      </w:r>
      <w:r w:rsidRPr="00AE3822">
        <w:t>includă:</w:t>
      </w:r>
    </w:p>
    <w:p w14:paraId="4291AF6C"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Delimitarea categoriilor prioritare ale clienţilor şi partenerilor Băncii;</w:t>
      </w:r>
    </w:p>
    <w:p w14:paraId="6A0397CD"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Măsuri de stimulare a clienţilor în cazul situaţiei excepţionale;</w:t>
      </w:r>
    </w:p>
    <w:p w14:paraId="26E37DF3"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Categoriile de parteneri, relaţiile cu care, în cazul situaţiei excepţionale, se întrerup;</w:t>
      </w:r>
    </w:p>
    <w:p w14:paraId="00638B07"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Măsuri de întrerupere a relaţiilor (de exemplu: oferirea unor condiţii nefavorabile de creditare etc.);</w:t>
      </w:r>
    </w:p>
    <w:p w14:paraId="05D9446B" w14:textId="77777777" w:rsidR="007D42FE" w:rsidRPr="00AE3822" w:rsidRDefault="007D42FE" w:rsidP="007D42FE">
      <w:pPr>
        <w:pStyle w:val="numbered"/>
        <w:numPr>
          <w:ilvl w:val="2"/>
          <w:numId w:val="1"/>
        </w:numPr>
        <w:tabs>
          <w:tab w:val="clear" w:pos="425"/>
        </w:tabs>
        <w:spacing w:line="240" w:lineRule="auto"/>
      </w:pPr>
      <w:r w:rsidRPr="00AE3822">
        <w:t>Recomandările de mobilizare a surselor de finanţare şi de minimizare a pierderilor în situaţii excepţionale pot să includă:</w:t>
      </w:r>
    </w:p>
    <w:p w14:paraId="7B226B2D"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Minimizarea cheltuielilor,  reducerea personalului, lichidarea subdiviziunilor;</w:t>
      </w:r>
    </w:p>
    <w:p w14:paraId="72768F4C"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Mobilizarea surselor principale şi alternative de finanţare din împrumuturi;</w:t>
      </w:r>
    </w:p>
    <w:p w14:paraId="49644A86"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Vânzarea activelor;</w:t>
      </w:r>
    </w:p>
    <w:p w14:paraId="278BD085"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Emisii de capital</w:t>
      </w:r>
      <w:r>
        <w:t>;</w:t>
      </w:r>
    </w:p>
    <w:p w14:paraId="39CB4FFD"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Acţiuni necesare pentru îndeplinirea întocmai a clauzelor contractelor de asigurare şi recuperarea pierderilor sau aplicarea dreptului de regres, inclusiv fixarea exactă a evenimentelor excepţionale şi a cazurilor asigurate.</w:t>
      </w:r>
    </w:p>
    <w:p w14:paraId="47C8764D" w14:textId="77777777" w:rsidR="007D42FE" w:rsidRPr="00AE3822" w:rsidRDefault="007D42FE" w:rsidP="007D42FE">
      <w:pPr>
        <w:pStyle w:val="numbered"/>
        <w:numPr>
          <w:ilvl w:val="2"/>
          <w:numId w:val="1"/>
        </w:numPr>
        <w:tabs>
          <w:tab w:val="clear" w:pos="425"/>
        </w:tabs>
        <w:spacing w:line="240" w:lineRule="auto"/>
      </w:pPr>
      <w:r w:rsidRPr="00AE3822">
        <w:t>Recomandările privind relaţiile cu publicul în situaţii excepţionale pot să includă:</w:t>
      </w:r>
    </w:p>
    <w:p w14:paraId="706F3632"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 xml:space="preserve">Organizarea conferinţelor de presă sau a altor acţiuni PR (Public Relations) şi desfăşurarea lor regulată; </w:t>
      </w:r>
    </w:p>
    <w:p w14:paraId="757F0E47" w14:textId="77777777" w:rsidR="007D42FE" w:rsidRPr="00AE3822" w:rsidRDefault="007D42FE" w:rsidP="007D42FE">
      <w:pPr>
        <w:pStyle w:val="numbered"/>
        <w:numPr>
          <w:ilvl w:val="1"/>
          <w:numId w:val="2"/>
        </w:numPr>
        <w:tabs>
          <w:tab w:val="clear" w:pos="360"/>
          <w:tab w:val="clear" w:pos="425"/>
          <w:tab w:val="num" w:pos="900"/>
        </w:tabs>
        <w:spacing w:before="0" w:line="240" w:lineRule="auto"/>
        <w:ind w:left="900"/>
      </w:pPr>
      <w:r w:rsidRPr="00AE3822">
        <w:t>Reflectarea pe site-ul web al Băncii şi în alte surse mass-media a poziţiei cu privire la situaţia de stres.</w:t>
      </w:r>
    </w:p>
    <w:p w14:paraId="2653AC36" w14:textId="77777777" w:rsidR="007D42FE" w:rsidRPr="00AE3822" w:rsidRDefault="007D42FE" w:rsidP="007D42FE">
      <w:pPr>
        <w:pStyle w:val="numbered"/>
        <w:numPr>
          <w:ilvl w:val="2"/>
          <w:numId w:val="1"/>
        </w:numPr>
        <w:tabs>
          <w:tab w:val="clear" w:pos="425"/>
        </w:tabs>
        <w:spacing w:line="240" w:lineRule="auto"/>
      </w:pPr>
      <w:r w:rsidRPr="00AE3822">
        <w:t>Recomandările de asigurare a continuităţii activităţii Băncii în situaţii excepţionale pot eventual servi drept bază pentru elaborarea / actualizarea documentelor normative interne.</w:t>
      </w:r>
    </w:p>
    <w:p w14:paraId="7302552D" w14:textId="77777777" w:rsidR="007D42FE" w:rsidRDefault="007D42FE" w:rsidP="007D42FE">
      <w:pPr>
        <w:pStyle w:val="Titlu-1"/>
        <w:numPr>
          <w:ilvl w:val="0"/>
          <w:numId w:val="0"/>
        </w:numPr>
        <w:ind w:left="567"/>
        <w:jc w:val="center"/>
        <w:rPr>
          <w:sz w:val="24"/>
        </w:rPr>
      </w:pPr>
      <w:bookmarkStart w:id="10" w:name="_Toc6219237"/>
      <w:bookmarkEnd w:id="2"/>
      <w:r w:rsidRPr="00AE3822">
        <w:rPr>
          <w:sz w:val="24"/>
        </w:rPr>
        <w:t>6. Responsabilităţile în cadrul efectuării testării la stres</w:t>
      </w:r>
      <w:bookmarkEnd w:id="10"/>
    </w:p>
    <w:p w14:paraId="3B8A9D14" w14:textId="77777777" w:rsidR="007D42FE" w:rsidRDefault="007D42FE" w:rsidP="007D42FE">
      <w:pPr>
        <w:pStyle w:val="Titlu-1"/>
        <w:numPr>
          <w:ilvl w:val="0"/>
          <w:numId w:val="0"/>
        </w:numPr>
        <w:ind w:left="567"/>
        <w:jc w:val="center"/>
        <w:rPr>
          <w:sz w:val="24"/>
        </w:rPr>
      </w:pPr>
    </w:p>
    <w:p w14:paraId="4FB8DA50" w14:textId="77777777" w:rsidR="007D42FE" w:rsidRPr="00AE3822" w:rsidRDefault="007D42FE" w:rsidP="007D42FE">
      <w:pPr>
        <w:pStyle w:val="af4"/>
        <w:numPr>
          <w:ilvl w:val="0"/>
          <w:numId w:val="1"/>
        </w:numPr>
        <w:tabs>
          <w:tab w:val="left" w:pos="425"/>
        </w:tabs>
        <w:spacing w:before="0"/>
        <w:rPr>
          <w:vanish/>
        </w:rPr>
      </w:pPr>
    </w:p>
    <w:p w14:paraId="019C04EF" w14:textId="77777777" w:rsidR="007D42FE" w:rsidRPr="00AE3822" w:rsidRDefault="007D42FE" w:rsidP="007D42FE">
      <w:pPr>
        <w:pStyle w:val="numbered"/>
        <w:numPr>
          <w:ilvl w:val="1"/>
          <w:numId w:val="1"/>
        </w:numPr>
        <w:spacing w:before="0" w:line="360" w:lineRule="auto"/>
      </w:pPr>
      <w:r w:rsidRPr="00AE3822">
        <w:t>Consiliul Băncii aprobă cadrul general privind simulările de criză.</w:t>
      </w:r>
    </w:p>
    <w:p w14:paraId="5975FE71" w14:textId="77777777" w:rsidR="007D42FE" w:rsidRPr="00AE3822" w:rsidRDefault="007D42FE" w:rsidP="007D42FE">
      <w:pPr>
        <w:pStyle w:val="numbered"/>
        <w:numPr>
          <w:ilvl w:val="1"/>
          <w:numId w:val="1"/>
        </w:numPr>
        <w:tabs>
          <w:tab w:val="clear" w:pos="425"/>
          <w:tab w:val="clear" w:pos="525"/>
          <w:tab w:val="num" w:pos="426"/>
        </w:tabs>
        <w:spacing w:before="0" w:line="360" w:lineRule="auto"/>
      </w:pPr>
      <w:r w:rsidRPr="00AE3822">
        <w:t>Comitetul de administrare a riscurilor analizează Raportul cu privire la simulările de criză și emite propuneri privind simulările la criză efectuate în cadrul Băncii.</w:t>
      </w:r>
    </w:p>
    <w:p w14:paraId="1EAF290B" w14:textId="77777777" w:rsidR="007D42FE" w:rsidRPr="00AE3822" w:rsidRDefault="007D42FE" w:rsidP="007D42FE">
      <w:pPr>
        <w:pStyle w:val="numbered"/>
        <w:numPr>
          <w:ilvl w:val="1"/>
          <w:numId w:val="1"/>
        </w:numPr>
        <w:spacing w:before="0" w:line="360" w:lineRule="auto"/>
      </w:pPr>
      <w:r w:rsidRPr="00AE3822">
        <w:t xml:space="preserve">Comitetul de conducere aprobă Programul de simulări la criză și participă la revizuirea </w:t>
      </w:r>
      <w:r>
        <w:t xml:space="preserve">şi identificarea </w:t>
      </w:r>
      <w:r w:rsidRPr="00AE3822">
        <w:t>potenţialelor scenarii de criză, precum şi contribuie la implementarea strategiilor de atenuare a riscului.</w:t>
      </w:r>
    </w:p>
    <w:p w14:paraId="40C650D4" w14:textId="77777777" w:rsidR="007D42FE" w:rsidRDefault="007D42FE" w:rsidP="007D42FE">
      <w:pPr>
        <w:pStyle w:val="numbered"/>
        <w:numPr>
          <w:ilvl w:val="1"/>
          <w:numId w:val="1"/>
        </w:numPr>
        <w:spacing w:before="0" w:line="360" w:lineRule="auto"/>
      </w:pPr>
      <w:r w:rsidRPr="00AE3822">
        <w:t>Departamentul riscuri bancare este responsabil pentru:</w:t>
      </w:r>
    </w:p>
    <w:p w14:paraId="1317B9F2" w14:textId="77777777" w:rsidR="007D42FE" w:rsidRDefault="007D42FE" w:rsidP="007D42FE">
      <w:pPr>
        <w:pStyle w:val="numbered"/>
        <w:numPr>
          <w:ilvl w:val="1"/>
          <w:numId w:val="2"/>
        </w:numPr>
        <w:tabs>
          <w:tab w:val="clear" w:pos="360"/>
          <w:tab w:val="clear" w:pos="425"/>
          <w:tab w:val="num" w:pos="851"/>
        </w:tabs>
        <w:spacing w:before="0" w:line="276" w:lineRule="auto"/>
        <w:ind w:left="851" w:hanging="284"/>
      </w:pPr>
      <w:r w:rsidRPr="00AE3822">
        <w:t>Organizarea procesului de elaborare, examinare şi aprobare a Rapoartelor privind simulările de criză</w:t>
      </w:r>
      <w:r>
        <w:t>;</w:t>
      </w:r>
    </w:p>
    <w:p w14:paraId="10454618" w14:textId="77777777" w:rsidR="007D42FE" w:rsidRPr="00AE3822" w:rsidRDefault="007D42FE" w:rsidP="007D42FE">
      <w:pPr>
        <w:pStyle w:val="numbered"/>
        <w:numPr>
          <w:ilvl w:val="1"/>
          <w:numId w:val="2"/>
        </w:numPr>
        <w:tabs>
          <w:tab w:val="clear" w:pos="360"/>
          <w:tab w:val="clear" w:pos="425"/>
          <w:tab w:val="num" w:pos="851"/>
        </w:tabs>
        <w:spacing w:before="0" w:line="276" w:lineRule="auto"/>
        <w:ind w:left="851" w:hanging="284"/>
      </w:pPr>
      <w:r>
        <w:t>Efectuarea simulărilor la criză în scopuri ICAAP, efectuarea simulărilor la criză aferente riscului de credit și concentrare, riscului operațional, valutar, de rată a dobânzii, de lichiditate, riscului de țară și scenariilor combinate;</w:t>
      </w:r>
    </w:p>
    <w:p w14:paraId="4C9EBDA4" w14:textId="77777777" w:rsidR="007D42FE" w:rsidRPr="00AE3822" w:rsidRDefault="007D42FE" w:rsidP="007D42FE">
      <w:pPr>
        <w:pStyle w:val="numbered"/>
        <w:numPr>
          <w:ilvl w:val="1"/>
          <w:numId w:val="2"/>
        </w:numPr>
        <w:tabs>
          <w:tab w:val="clear" w:pos="360"/>
          <w:tab w:val="clear" w:pos="425"/>
          <w:tab w:val="num" w:pos="851"/>
        </w:tabs>
        <w:spacing w:before="0" w:line="276" w:lineRule="auto"/>
        <w:ind w:left="851" w:hanging="284"/>
      </w:pPr>
      <w:r w:rsidRPr="00AE3822">
        <w:t>Elaborarea Rapoartelor privind simulările de criză</w:t>
      </w:r>
      <w:r>
        <w:t>;</w:t>
      </w:r>
    </w:p>
    <w:p w14:paraId="00DE1BE4" w14:textId="77777777" w:rsidR="007D42FE" w:rsidRPr="00AE3822" w:rsidRDefault="007D42FE" w:rsidP="007D42FE">
      <w:pPr>
        <w:pStyle w:val="numbered"/>
        <w:numPr>
          <w:ilvl w:val="1"/>
          <w:numId w:val="2"/>
        </w:numPr>
        <w:tabs>
          <w:tab w:val="clear" w:pos="360"/>
          <w:tab w:val="clear" w:pos="425"/>
          <w:tab w:val="num" w:pos="851"/>
        </w:tabs>
        <w:spacing w:before="0" w:line="276" w:lineRule="auto"/>
        <w:ind w:left="851" w:hanging="284"/>
      </w:pPr>
      <w:r w:rsidRPr="00AE3822">
        <w:t>Prelucrarea propunerilor privind necesitatea efectuării simulărilor de criză</w:t>
      </w:r>
      <w:r>
        <w:t>;</w:t>
      </w:r>
    </w:p>
    <w:p w14:paraId="63E0AF1A" w14:textId="77777777" w:rsidR="007D42FE" w:rsidRPr="00AE3822" w:rsidRDefault="007D42FE" w:rsidP="007D42FE">
      <w:pPr>
        <w:pStyle w:val="numbered"/>
        <w:numPr>
          <w:ilvl w:val="1"/>
          <w:numId w:val="2"/>
        </w:numPr>
        <w:tabs>
          <w:tab w:val="clear" w:pos="360"/>
          <w:tab w:val="clear" w:pos="425"/>
          <w:tab w:val="num" w:pos="851"/>
        </w:tabs>
        <w:spacing w:before="0" w:line="276" w:lineRule="auto"/>
        <w:ind w:left="851" w:hanging="284"/>
      </w:pPr>
      <w:r w:rsidRPr="00AE3822">
        <w:t>Recepţionarea, prelucrarea  informațiilor necesare privind simulările de criză efectuate de alte subdiviziuni şi raportarea rezultatelor către conducerea Băncii</w:t>
      </w:r>
      <w:r>
        <w:t>;</w:t>
      </w:r>
    </w:p>
    <w:p w14:paraId="3DAA57E8" w14:textId="77777777" w:rsidR="007D42FE" w:rsidRPr="00AE3822" w:rsidRDefault="007D42FE" w:rsidP="007D42FE">
      <w:pPr>
        <w:pStyle w:val="numbered"/>
        <w:numPr>
          <w:ilvl w:val="1"/>
          <w:numId w:val="2"/>
        </w:numPr>
        <w:tabs>
          <w:tab w:val="clear" w:pos="360"/>
          <w:tab w:val="clear" w:pos="425"/>
          <w:tab w:val="num" w:pos="851"/>
        </w:tabs>
        <w:spacing w:before="0" w:line="276" w:lineRule="auto"/>
        <w:ind w:left="851" w:hanging="284"/>
      </w:pPr>
      <w:r w:rsidRPr="00AE3822">
        <w:t>Coordonarea activităţii subdiviziunilor în cazul elaborării scenariilor care necesită implicarea mai multor subdiviziuni</w:t>
      </w:r>
      <w:r>
        <w:t>;</w:t>
      </w:r>
    </w:p>
    <w:p w14:paraId="4AFB2DF5" w14:textId="77777777" w:rsidR="007D42FE" w:rsidRPr="00AE3822" w:rsidRDefault="007D42FE" w:rsidP="007D42FE">
      <w:pPr>
        <w:pStyle w:val="numbered"/>
        <w:numPr>
          <w:ilvl w:val="1"/>
          <w:numId w:val="2"/>
        </w:numPr>
        <w:tabs>
          <w:tab w:val="clear" w:pos="360"/>
          <w:tab w:val="clear" w:pos="425"/>
          <w:tab w:val="num" w:pos="851"/>
        </w:tabs>
        <w:spacing w:before="0" w:line="276" w:lineRule="auto"/>
        <w:ind w:left="851" w:hanging="284"/>
      </w:pPr>
      <w:r w:rsidRPr="00AE3822">
        <w:t>Acumularea informaţiei privind situaţiile excepţionale (de criză) care au avut loc atât în Republica Moldova, cât şi în alte ţări</w:t>
      </w:r>
      <w:r>
        <w:t>;</w:t>
      </w:r>
    </w:p>
    <w:p w14:paraId="211EDF35" w14:textId="77777777" w:rsidR="007D42FE" w:rsidRPr="00AE3822" w:rsidRDefault="007D42FE" w:rsidP="007D42FE">
      <w:pPr>
        <w:pStyle w:val="numbered"/>
        <w:numPr>
          <w:ilvl w:val="1"/>
          <w:numId w:val="2"/>
        </w:numPr>
        <w:tabs>
          <w:tab w:val="clear" w:pos="360"/>
          <w:tab w:val="clear" w:pos="425"/>
          <w:tab w:val="num" w:pos="851"/>
        </w:tabs>
        <w:spacing w:before="0" w:line="276" w:lineRule="auto"/>
        <w:ind w:left="851" w:hanging="284"/>
      </w:pPr>
      <w:r w:rsidRPr="00AE3822">
        <w:t xml:space="preserve">Verificarea cel puțin o dată pe an, în momentul actualizării prezentului Regulament, dacă simulările </w:t>
      </w:r>
      <w:r w:rsidRPr="00AE3822">
        <w:lastRenderedPageBreak/>
        <w:t>de criză sunt adecvate situației la zi și în special dacă ipotezele privind profilul de risc și mediul în care își desfășoară activitatea rămân valabile</w:t>
      </w:r>
      <w:r>
        <w:t>;</w:t>
      </w:r>
    </w:p>
    <w:p w14:paraId="3865A781" w14:textId="77777777" w:rsidR="007D42FE" w:rsidRDefault="007D42FE" w:rsidP="007D42FE">
      <w:pPr>
        <w:pStyle w:val="numbered"/>
        <w:numPr>
          <w:ilvl w:val="1"/>
          <w:numId w:val="2"/>
        </w:numPr>
        <w:tabs>
          <w:tab w:val="clear" w:pos="360"/>
          <w:tab w:val="clear" w:pos="425"/>
          <w:tab w:val="num" w:pos="851"/>
        </w:tabs>
        <w:spacing w:before="0" w:line="276" w:lineRule="auto"/>
        <w:ind w:left="851" w:hanging="284"/>
      </w:pPr>
      <w:r w:rsidRPr="00AE3822">
        <w:t xml:space="preserve">Transmiterea în adresa Băncii Naționale a Moldovei anual a informației prevăzute la </w:t>
      </w:r>
      <w:r w:rsidRPr="004E1D59">
        <w:t>pct. 4.10 și pct. 5.</w:t>
      </w:r>
      <w:r>
        <w:t>5</w:t>
      </w:r>
      <w:r w:rsidRPr="00AE3822">
        <w:t xml:space="preserve"> din prezentul Regulament.</w:t>
      </w:r>
    </w:p>
    <w:p w14:paraId="2ED7E2FF" w14:textId="77777777" w:rsidR="007D42FE" w:rsidRDefault="007D42FE" w:rsidP="007D42FE">
      <w:pPr>
        <w:pStyle w:val="numbered"/>
        <w:numPr>
          <w:ilvl w:val="1"/>
          <w:numId w:val="1"/>
        </w:numPr>
        <w:tabs>
          <w:tab w:val="clear" w:pos="425"/>
        </w:tabs>
        <w:spacing w:before="0" w:line="276" w:lineRule="auto"/>
      </w:pPr>
      <w:r w:rsidRPr="00AE3822">
        <w:t>Departamentul planificare și analiză economico-financiară este responsabil de prezentarea, la solicitare, a informației necesare pentru elaborarea și verificarea simulărilor de criză aferente riscului de lichiditate, riscului valutar și riscului ratei dobânzii, precum și a analizelor și modelărilor efectuate cu privire la riscurile menționate.</w:t>
      </w:r>
    </w:p>
    <w:p w14:paraId="2B2C1007" w14:textId="77777777" w:rsidR="007D42FE" w:rsidRPr="00AE3822" w:rsidRDefault="007D42FE" w:rsidP="007D42FE">
      <w:pPr>
        <w:pStyle w:val="numbered"/>
        <w:numPr>
          <w:ilvl w:val="1"/>
          <w:numId w:val="1"/>
        </w:numPr>
        <w:tabs>
          <w:tab w:val="clear" w:pos="425"/>
        </w:tabs>
        <w:spacing w:before="0" w:line="276" w:lineRule="auto"/>
      </w:pPr>
      <w:r w:rsidRPr="00AE3822">
        <w:t>Consiliul Băncii va lua măsuri fezabile în funcție de nivelul expunerii la risc determinat de simulările de criză, toleranța la risc a Băncii, precum și în funcție de propunerile incluse în Raportul privind efectuarea simulărilor de criză.</w:t>
      </w:r>
    </w:p>
    <w:p w14:paraId="546FA9A5" w14:textId="77777777" w:rsidR="007D42FE" w:rsidRPr="00AE3822" w:rsidRDefault="007D42FE" w:rsidP="007D42FE">
      <w:pPr>
        <w:pStyle w:val="numbered"/>
        <w:numPr>
          <w:ilvl w:val="0"/>
          <w:numId w:val="0"/>
        </w:numPr>
        <w:tabs>
          <w:tab w:val="clear" w:pos="425"/>
        </w:tabs>
        <w:spacing w:before="0" w:line="276" w:lineRule="auto"/>
        <w:ind w:left="525"/>
      </w:pPr>
      <w:r w:rsidRPr="00AE3822">
        <w:t>După caz, măsurile fezabile pot prevedea, dar nu se vor limita la:</w:t>
      </w:r>
    </w:p>
    <w:p w14:paraId="5ACBF542" w14:textId="77777777" w:rsidR="007D42FE" w:rsidRPr="00AE3822" w:rsidRDefault="007D42FE" w:rsidP="007D42FE">
      <w:pPr>
        <w:pStyle w:val="numbered"/>
        <w:numPr>
          <w:ilvl w:val="0"/>
          <w:numId w:val="0"/>
        </w:numPr>
        <w:tabs>
          <w:tab w:val="clear" w:pos="425"/>
        </w:tabs>
        <w:spacing w:before="0" w:line="276" w:lineRule="auto"/>
        <w:ind w:left="525"/>
      </w:pPr>
      <w:r w:rsidRPr="00AE3822">
        <w:t>1) revizuirea setului de limite;</w:t>
      </w:r>
    </w:p>
    <w:p w14:paraId="5D8CC868" w14:textId="77777777" w:rsidR="007D42FE" w:rsidRPr="00AE3822" w:rsidRDefault="007D42FE" w:rsidP="007D42FE">
      <w:pPr>
        <w:pStyle w:val="numbered"/>
        <w:numPr>
          <w:ilvl w:val="0"/>
          <w:numId w:val="0"/>
        </w:numPr>
        <w:tabs>
          <w:tab w:val="clear" w:pos="425"/>
        </w:tabs>
        <w:spacing w:before="0" w:line="276" w:lineRule="auto"/>
        <w:ind w:left="525"/>
      </w:pPr>
      <w:r w:rsidRPr="00AE3822">
        <w:t>2) utilizarea tehnicilor de diminuare a riscului;</w:t>
      </w:r>
    </w:p>
    <w:p w14:paraId="7CF1190A" w14:textId="77777777" w:rsidR="007D42FE" w:rsidRPr="00AE3822" w:rsidRDefault="007D42FE" w:rsidP="007D42FE">
      <w:pPr>
        <w:pStyle w:val="numbered"/>
        <w:numPr>
          <w:ilvl w:val="0"/>
          <w:numId w:val="0"/>
        </w:numPr>
        <w:tabs>
          <w:tab w:val="clear" w:pos="425"/>
        </w:tabs>
        <w:spacing w:before="0" w:line="276" w:lineRule="auto"/>
        <w:ind w:left="525"/>
      </w:pPr>
      <w:r w:rsidRPr="00AE3822">
        <w:t>3) reducerea expunerilor sau a activității în anumite sectoare, țări, regiuni geografice sau portofolii;</w:t>
      </w:r>
    </w:p>
    <w:p w14:paraId="485A9DFA" w14:textId="77777777" w:rsidR="007D42FE" w:rsidRPr="00AE3822" w:rsidRDefault="007D42FE" w:rsidP="007D42FE">
      <w:pPr>
        <w:pStyle w:val="numbered"/>
        <w:numPr>
          <w:ilvl w:val="0"/>
          <w:numId w:val="0"/>
        </w:numPr>
        <w:tabs>
          <w:tab w:val="clear" w:pos="425"/>
        </w:tabs>
        <w:spacing w:before="0" w:line="276" w:lineRule="auto"/>
        <w:ind w:left="525"/>
      </w:pPr>
      <w:r w:rsidRPr="00AE3822">
        <w:t>4) revizuirea politicii de finanțare;</w:t>
      </w:r>
    </w:p>
    <w:p w14:paraId="576B57B6" w14:textId="77777777" w:rsidR="007D42FE" w:rsidRPr="00AE3822" w:rsidRDefault="007D42FE" w:rsidP="007D42FE">
      <w:pPr>
        <w:pStyle w:val="numbered"/>
        <w:numPr>
          <w:ilvl w:val="0"/>
          <w:numId w:val="0"/>
        </w:numPr>
        <w:tabs>
          <w:tab w:val="clear" w:pos="425"/>
        </w:tabs>
        <w:spacing w:before="0" w:line="276" w:lineRule="auto"/>
        <w:ind w:left="525"/>
      </w:pPr>
      <w:r w:rsidRPr="00AE3822">
        <w:t>5) adecvarea fondurilor proprii;</w:t>
      </w:r>
    </w:p>
    <w:p w14:paraId="4C10BD6E" w14:textId="77777777" w:rsidR="007D42FE" w:rsidRPr="00AE3822" w:rsidRDefault="007D42FE" w:rsidP="007D42FE">
      <w:pPr>
        <w:pStyle w:val="numbered"/>
        <w:numPr>
          <w:ilvl w:val="0"/>
          <w:numId w:val="0"/>
        </w:numPr>
        <w:tabs>
          <w:tab w:val="clear" w:pos="425"/>
        </w:tabs>
        <w:spacing w:before="0" w:line="276" w:lineRule="auto"/>
        <w:ind w:left="525"/>
      </w:pPr>
      <w:r w:rsidRPr="00AE3822">
        <w:t>6) implementarea planurilor de redresare.</w:t>
      </w:r>
    </w:p>
    <w:p w14:paraId="393FF669" w14:textId="77777777" w:rsidR="007D42FE" w:rsidRDefault="007D42FE" w:rsidP="007D42FE">
      <w:pPr>
        <w:pStyle w:val="numbered"/>
        <w:numPr>
          <w:ilvl w:val="0"/>
          <w:numId w:val="0"/>
        </w:numPr>
        <w:tabs>
          <w:tab w:val="clear" w:pos="425"/>
        </w:tabs>
        <w:spacing w:before="0" w:line="276" w:lineRule="auto"/>
        <w:ind w:left="525"/>
      </w:pPr>
      <w:r w:rsidRPr="00AE3822">
        <w:t>Deciziile referitor la măsurile luate de Consiliul Băncii vor fi formalizate și înregistrate în procesul verbal al Ședinței Consiliului Băncii.</w:t>
      </w:r>
    </w:p>
    <w:p w14:paraId="65DCDEA1" w14:textId="77777777" w:rsidR="007D42FE" w:rsidRPr="00AE3822" w:rsidRDefault="007D42FE" w:rsidP="007D42FE">
      <w:pPr>
        <w:pStyle w:val="numbered"/>
        <w:numPr>
          <w:ilvl w:val="1"/>
          <w:numId w:val="1"/>
        </w:numPr>
        <w:tabs>
          <w:tab w:val="clear" w:pos="425"/>
        </w:tabs>
        <w:spacing w:before="0" w:line="276" w:lineRule="auto"/>
      </w:pPr>
      <w:r w:rsidRPr="00AE3822">
        <w:t xml:space="preserve">În cazul în care simulările de criză denotă că modificările bruşte şi neaşteptate ale ratelor dobânzii şi/sau ale fluctuaţiilor pe piaţă ale ratei de schimb valutar au un impact semnificativ asupra fondurilor proprii ale băncii, </w:t>
      </w:r>
      <w:r>
        <w:t>Consiliul</w:t>
      </w:r>
      <w:r w:rsidRPr="00AE3822">
        <w:t xml:space="preserve"> băncii va întreprinde măsuri de urgenţă în vederea redresării situaţiei.</w:t>
      </w:r>
    </w:p>
    <w:p w14:paraId="6555A113" w14:textId="77777777" w:rsidR="006E3A7B" w:rsidRDefault="006E3A7B"/>
    <w:sectPr w:rsidR="006E3A7B" w:rsidSect="007D42FE">
      <w:headerReference w:type="even" r:id="rId9"/>
      <w:headerReference w:type="default" r:id="rId10"/>
      <w:footerReference w:type="even" r:id="rId11"/>
      <w:footerReference w:type="default" r:id="rId12"/>
      <w:headerReference w:type="first" r:id="rId13"/>
      <w:footerReference w:type="first" r:id="rId14"/>
      <w:pgSz w:w="11906" w:h="16838" w:code="9"/>
      <w:pgMar w:top="426" w:right="851" w:bottom="568" w:left="1418"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Svetlana Gorincioi" w:date="2020-06-11T12:30:00Z" w:initials="SG">
    <w:p w14:paraId="2964AFCF" w14:textId="77777777" w:rsidR="007D42FE" w:rsidRDefault="007D42FE" w:rsidP="007D42FE">
      <w:pPr>
        <w:pStyle w:val="a9"/>
      </w:pPr>
      <w:r>
        <w:rPr>
          <w:rStyle w:val="a8"/>
        </w:rPr>
        <w:annotationRef/>
      </w:r>
      <w:r>
        <w:t>Propun să utilizaţi:</w:t>
      </w:r>
    </w:p>
    <w:p w14:paraId="16B95545" w14:textId="77777777" w:rsidR="007D42FE" w:rsidRDefault="007D42FE" w:rsidP="007D42FE">
      <w:pPr>
        <w:pStyle w:val="a9"/>
      </w:pPr>
      <w:r>
        <w:t xml:space="preserve"> „sunt „</w:t>
      </w:r>
    </w:p>
    <w:p w14:paraId="5F08ECF7" w14:textId="77777777" w:rsidR="007D42FE" w:rsidRDefault="007D42FE" w:rsidP="007D42FE">
      <w:pPr>
        <w:pStyle w:val="a9"/>
      </w:pPr>
      <w:r>
        <w:t>sau</w:t>
      </w:r>
    </w:p>
    <w:p w14:paraId="7477A2B5" w14:textId="77777777" w:rsidR="007D42FE" w:rsidRDefault="007D42FE" w:rsidP="007D42FE">
      <w:pPr>
        <w:pStyle w:val="a9"/>
      </w:pPr>
      <w:r>
        <w:t>„ vor fi”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77A2B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DDE7E" w14:textId="77777777" w:rsidR="00366AEE" w:rsidRDefault="00366AEE" w:rsidP="007D42FE">
      <w:pPr>
        <w:spacing w:before="0" w:line="240" w:lineRule="auto"/>
      </w:pPr>
      <w:r>
        <w:separator/>
      </w:r>
    </w:p>
  </w:endnote>
  <w:endnote w:type="continuationSeparator" w:id="0">
    <w:p w14:paraId="65805DD6" w14:textId="77777777" w:rsidR="00366AEE" w:rsidRDefault="00366AEE" w:rsidP="007D42FE">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13CEE" w14:textId="77777777" w:rsidR="007D42FE" w:rsidRDefault="007D42FE" w:rsidP="007D42FE">
    <w:pPr>
      <w:pStyle w:val="a5"/>
      <w:pBdr>
        <w:top w:val="single" w:sz="4" w:space="1" w:color="D9D9D9"/>
      </w:pBdr>
      <w:spacing w:before="0"/>
      <w:jc w:val="center"/>
    </w:pPr>
    <w:bookmarkStart w:id="13" w:name="MarcajFooter1FooterEvenPages"/>
  </w:p>
  <w:bookmarkEnd w:id="13"/>
  <w:p w14:paraId="542B4F7A" w14:textId="29275447" w:rsidR="007D42FE" w:rsidRDefault="007D42FE" w:rsidP="007D42FE">
    <w:pPr>
      <w:pStyle w:val="a5"/>
      <w:pBdr>
        <w:top w:val="single" w:sz="4" w:space="1" w:color="D9D9D9"/>
      </w:pBdr>
      <w:spacing w:before="0"/>
      <w:jc w:val="right"/>
    </w:pPr>
    <w:r>
      <w:fldChar w:fldCharType="begin"/>
    </w:r>
    <w:r>
      <w:instrText xml:space="preserve"> PAGE   \* MERGEFORMAT </w:instrText>
    </w:r>
    <w:r>
      <w:fldChar w:fldCharType="separate"/>
    </w:r>
    <w:r w:rsidR="00650F97">
      <w:rPr>
        <w:noProof/>
      </w:rPr>
      <w:t>10</w:t>
    </w:r>
    <w:r>
      <w:rPr>
        <w:noProof/>
      </w:rPr>
      <w:fldChar w:fldCharType="end"/>
    </w:r>
    <w:r>
      <w:t xml:space="preserve"> | </w:t>
    </w:r>
    <w:r>
      <w:rPr>
        <w:color w:val="808080"/>
        <w:spacing w:val="60"/>
      </w:rPr>
      <w:t>13</w:t>
    </w:r>
  </w:p>
  <w:p w14:paraId="1C94CD12" w14:textId="77777777" w:rsidR="007D42FE" w:rsidRDefault="007D42FE" w:rsidP="007D42F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182DF" w14:textId="77777777" w:rsidR="007D42FE" w:rsidRDefault="007D42FE" w:rsidP="007D42FE">
    <w:pPr>
      <w:pStyle w:val="a5"/>
      <w:pBdr>
        <w:top w:val="single" w:sz="4" w:space="1" w:color="D9D9D9"/>
      </w:pBdr>
      <w:spacing w:before="0"/>
      <w:jc w:val="center"/>
    </w:pPr>
    <w:bookmarkStart w:id="14" w:name="MarcajFooter1FooterPrimary"/>
  </w:p>
  <w:bookmarkEnd w:id="14"/>
  <w:p w14:paraId="64369780" w14:textId="71DEAF84" w:rsidR="00D434FF" w:rsidRDefault="000A3E37" w:rsidP="007D42FE">
    <w:pPr>
      <w:pStyle w:val="a5"/>
      <w:pBdr>
        <w:top w:val="single" w:sz="4" w:space="1" w:color="D9D9D9"/>
      </w:pBdr>
      <w:spacing w:before="0"/>
      <w:jc w:val="right"/>
    </w:pPr>
    <w:r>
      <w:fldChar w:fldCharType="begin"/>
    </w:r>
    <w:r>
      <w:instrText xml:space="preserve"> PAGE   \* MERGEFORMAT </w:instrText>
    </w:r>
    <w:r>
      <w:fldChar w:fldCharType="separate"/>
    </w:r>
    <w:r w:rsidR="00650F97">
      <w:rPr>
        <w:noProof/>
      </w:rPr>
      <w:t>11</w:t>
    </w:r>
    <w:r>
      <w:rPr>
        <w:noProof/>
      </w:rPr>
      <w:fldChar w:fldCharType="end"/>
    </w:r>
    <w:r>
      <w:t xml:space="preserve"> | </w:t>
    </w:r>
    <w:r>
      <w:rPr>
        <w:color w:val="808080"/>
        <w:spacing w:val="60"/>
      </w:rPr>
      <w:t>13</w:t>
    </w:r>
  </w:p>
  <w:p w14:paraId="1D5EF852" w14:textId="77777777" w:rsidR="005937E8" w:rsidRDefault="00366AE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F790B" w14:textId="77777777" w:rsidR="007D42FE" w:rsidRDefault="007D42FE" w:rsidP="007D42FE">
    <w:pPr>
      <w:pStyle w:val="a5"/>
      <w:pBdr>
        <w:top w:val="single" w:sz="4" w:space="1" w:color="D9D9D9"/>
      </w:pBdr>
      <w:spacing w:before="0"/>
      <w:jc w:val="center"/>
    </w:pPr>
    <w:bookmarkStart w:id="16" w:name="MarcajFooter1FooterFirstPage"/>
  </w:p>
  <w:bookmarkEnd w:id="16"/>
  <w:p w14:paraId="09237E5B" w14:textId="21B47B42" w:rsidR="00C7467C" w:rsidRDefault="000A3E37" w:rsidP="007D42FE">
    <w:pPr>
      <w:pStyle w:val="a5"/>
      <w:pBdr>
        <w:top w:val="single" w:sz="4" w:space="1" w:color="D9D9D9"/>
      </w:pBdr>
      <w:spacing w:before="0"/>
      <w:jc w:val="right"/>
    </w:pPr>
    <w:r>
      <w:fldChar w:fldCharType="begin"/>
    </w:r>
    <w:r>
      <w:instrText xml:space="preserve"> PAGE   \* MERGEFORMAT </w:instrText>
    </w:r>
    <w:r>
      <w:fldChar w:fldCharType="separate"/>
    </w:r>
    <w:r w:rsidR="00650F97">
      <w:rPr>
        <w:noProof/>
      </w:rPr>
      <w:t>1</w:t>
    </w:r>
    <w:r>
      <w:rPr>
        <w:noProof/>
      </w:rPr>
      <w:fldChar w:fldCharType="end"/>
    </w:r>
    <w:r>
      <w:t xml:space="preserve"> | </w:t>
    </w:r>
    <w:r>
      <w:rPr>
        <w:color w:val="808080"/>
        <w:spacing w:val="60"/>
      </w:rPr>
      <w:t>13</w:t>
    </w:r>
  </w:p>
  <w:p w14:paraId="31B316FE" w14:textId="77777777" w:rsidR="00C7467C" w:rsidRDefault="00366AEE" w:rsidP="00C7467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70DF3" w14:textId="77777777" w:rsidR="00366AEE" w:rsidRDefault="00366AEE" w:rsidP="007D42FE">
      <w:pPr>
        <w:spacing w:before="0" w:line="240" w:lineRule="auto"/>
      </w:pPr>
      <w:r>
        <w:separator/>
      </w:r>
    </w:p>
  </w:footnote>
  <w:footnote w:type="continuationSeparator" w:id="0">
    <w:p w14:paraId="351699CB" w14:textId="77777777" w:rsidR="00366AEE" w:rsidRDefault="00366AEE" w:rsidP="007D42FE">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364E2" w14:textId="77777777" w:rsidR="007D42FE" w:rsidRPr="00C9724E" w:rsidRDefault="007D42FE" w:rsidP="007D42FE">
    <w:pPr>
      <w:pStyle w:val="a3"/>
      <w:tabs>
        <w:tab w:val="clear" w:pos="4677"/>
      </w:tabs>
      <w:spacing w:before="0" w:line="240" w:lineRule="auto"/>
      <w:ind w:right="-5"/>
      <w:jc w:val="right"/>
      <w:rPr>
        <w:b/>
        <w:sz w:val="16"/>
        <w:szCs w:val="16"/>
      </w:rPr>
    </w:pPr>
    <w:bookmarkStart w:id="11" w:name="MarcajHeader1HeaderEvenPages"/>
    <w:r w:rsidRPr="007D42FE">
      <w:rPr>
        <w:b/>
        <w:color w:val="000000"/>
        <w:szCs w:val="16"/>
      </w:rPr>
      <w:t>P-Public</w:t>
    </w:r>
    <w:bookmarkEnd w:id="11"/>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7B120" w14:textId="77777777" w:rsidR="005937E8" w:rsidRPr="00C9724E" w:rsidRDefault="007D42FE" w:rsidP="007D42FE">
    <w:pPr>
      <w:pStyle w:val="a3"/>
      <w:tabs>
        <w:tab w:val="clear" w:pos="4677"/>
      </w:tabs>
      <w:spacing w:before="0" w:line="240" w:lineRule="auto"/>
      <w:ind w:right="-5"/>
      <w:jc w:val="right"/>
      <w:rPr>
        <w:b/>
        <w:sz w:val="16"/>
        <w:szCs w:val="16"/>
      </w:rPr>
    </w:pPr>
    <w:bookmarkStart w:id="12" w:name="MarcajHeader1HeaderPrimary"/>
    <w:r w:rsidRPr="007D42FE">
      <w:rPr>
        <w:b/>
        <w:color w:val="000000"/>
        <w:szCs w:val="16"/>
      </w:rPr>
      <w:t>P-Public</w:t>
    </w:r>
    <w:bookmarkEnd w:id="12"/>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891" w14:textId="77777777" w:rsidR="005937E8" w:rsidRDefault="007D42FE" w:rsidP="007D42FE">
    <w:pPr>
      <w:pStyle w:val="a3"/>
      <w:tabs>
        <w:tab w:val="clear" w:pos="4677"/>
      </w:tabs>
      <w:spacing w:before="0" w:line="240" w:lineRule="auto"/>
      <w:ind w:right="-5"/>
      <w:jc w:val="right"/>
    </w:pPr>
    <w:bookmarkStart w:id="15" w:name="MarcajHeader1HeaderFirstPage"/>
    <w:r w:rsidRPr="007D42FE">
      <w:rPr>
        <w:b/>
        <w:color w:val="000000"/>
      </w:rPr>
      <w:t>P-Public</w:t>
    </w:r>
    <w:bookmarkEnd w:id="15"/>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5DC"/>
    <w:multiLevelType w:val="hybridMultilevel"/>
    <w:tmpl w:val="EF646348"/>
    <w:lvl w:ilvl="0" w:tplc="432683DC">
      <w:start w:val="1"/>
      <w:numFmt w:val="bullet"/>
      <w:lvlText w:val="•"/>
      <w:lvlJc w:val="left"/>
      <w:pPr>
        <w:tabs>
          <w:tab w:val="num" w:pos="720"/>
        </w:tabs>
        <w:ind w:left="720" w:hanging="360"/>
      </w:pPr>
      <w:rPr>
        <w:rFonts w:ascii="Times New Roman" w:hAnsi="Times New Roman" w:hint="default"/>
      </w:rPr>
    </w:lvl>
    <w:lvl w:ilvl="1" w:tplc="24648FE8" w:tentative="1">
      <w:start w:val="1"/>
      <w:numFmt w:val="bullet"/>
      <w:lvlText w:val="•"/>
      <w:lvlJc w:val="left"/>
      <w:pPr>
        <w:tabs>
          <w:tab w:val="num" w:pos="1440"/>
        </w:tabs>
        <w:ind w:left="1440" w:hanging="360"/>
      </w:pPr>
      <w:rPr>
        <w:rFonts w:ascii="Times New Roman" w:hAnsi="Times New Roman" w:hint="default"/>
      </w:rPr>
    </w:lvl>
    <w:lvl w:ilvl="2" w:tplc="38F45C42" w:tentative="1">
      <w:start w:val="1"/>
      <w:numFmt w:val="bullet"/>
      <w:lvlText w:val="•"/>
      <w:lvlJc w:val="left"/>
      <w:pPr>
        <w:tabs>
          <w:tab w:val="num" w:pos="2160"/>
        </w:tabs>
        <w:ind w:left="2160" w:hanging="360"/>
      </w:pPr>
      <w:rPr>
        <w:rFonts w:ascii="Times New Roman" w:hAnsi="Times New Roman" w:hint="default"/>
      </w:rPr>
    </w:lvl>
    <w:lvl w:ilvl="3" w:tplc="B9F4753C" w:tentative="1">
      <w:start w:val="1"/>
      <w:numFmt w:val="bullet"/>
      <w:lvlText w:val="•"/>
      <w:lvlJc w:val="left"/>
      <w:pPr>
        <w:tabs>
          <w:tab w:val="num" w:pos="2880"/>
        </w:tabs>
        <w:ind w:left="2880" w:hanging="360"/>
      </w:pPr>
      <w:rPr>
        <w:rFonts w:ascii="Times New Roman" w:hAnsi="Times New Roman" w:hint="default"/>
      </w:rPr>
    </w:lvl>
    <w:lvl w:ilvl="4" w:tplc="0338C65E" w:tentative="1">
      <w:start w:val="1"/>
      <w:numFmt w:val="bullet"/>
      <w:lvlText w:val="•"/>
      <w:lvlJc w:val="left"/>
      <w:pPr>
        <w:tabs>
          <w:tab w:val="num" w:pos="3600"/>
        </w:tabs>
        <w:ind w:left="3600" w:hanging="360"/>
      </w:pPr>
      <w:rPr>
        <w:rFonts w:ascii="Times New Roman" w:hAnsi="Times New Roman" w:hint="default"/>
      </w:rPr>
    </w:lvl>
    <w:lvl w:ilvl="5" w:tplc="B052B258" w:tentative="1">
      <w:start w:val="1"/>
      <w:numFmt w:val="bullet"/>
      <w:lvlText w:val="•"/>
      <w:lvlJc w:val="left"/>
      <w:pPr>
        <w:tabs>
          <w:tab w:val="num" w:pos="4320"/>
        </w:tabs>
        <w:ind w:left="4320" w:hanging="360"/>
      </w:pPr>
      <w:rPr>
        <w:rFonts w:ascii="Times New Roman" w:hAnsi="Times New Roman" w:hint="default"/>
      </w:rPr>
    </w:lvl>
    <w:lvl w:ilvl="6" w:tplc="7EF603D4" w:tentative="1">
      <w:start w:val="1"/>
      <w:numFmt w:val="bullet"/>
      <w:lvlText w:val="•"/>
      <w:lvlJc w:val="left"/>
      <w:pPr>
        <w:tabs>
          <w:tab w:val="num" w:pos="5040"/>
        </w:tabs>
        <w:ind w:left="5040" w:hanging="360"/>
      </w:pPr>
      <w:rPr>
        <w:rFonts w:ascii="Times New Roman" w:hAnsi="Times New Roman" w:hint="default"/>
      </w:rPr>
    </w:lvl>
    <w:lvl w:ilvl="7" w:tplc="25DE0472" w:tentative="1">
      <w:start w:val="1"/>
      <w:numFmt w:val="bullet"/>
      <w:lvlText w:val="•"/>
      <w:lvlJc w:val="left"/>
      <w:pPr>
        <w:tabs>
          <w:tab w:val="num" w:pos="5760"/>
        </w:tabs>
        <w:ind w:left="5760" w:hanging="360"/>
      </w:pPr>
      <w:rPr>
        <w:rFonts w:ascii="Times New Roman" w:hAnsi="Times New Roman" w:hint="default"/>
      </w:rPr>
    </w:lvl>
    <w:lvl w:ilvl="8" w:tplc="01F69D7A"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2B86F06"/>
    <w:multiLevelType w:val="hybridMultilevel"/>
    <w:tmpl w:val="19DEA290"/>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305C9712">
      <w:numFmt w:val="bullet"/>
      <w:lvlText w:val="-"/>
      <w:lvlJc w:val="left"/>
      <w:pPr>
        <w:ind w:left="2160" w:hanging="360"/>
      </w:pPr>
      <w:rPr>
        <w:rFonts w:ascii="Arial" w:eastAsia="Times New Roman" w:hAnsi="Arial" w:cs="Aria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4F29E6"/>
    <w:multiLevelType w:val="hybridMultilevel"/>
    <w:tmpl w:val="4E3830DE"/>
    <w:lvl w:ilvl="0" w:tplc="0418000F">
      <w:start w:val="1"/>
      <w:numFmt w:val="decimal"/>
      <w:lvlText w:val="%1."/>
      <w:lvlJc w:val="left"/>
      <w:pPr>
        <w:ind w:left="1245" w:hanging="360"/>
      </w:pPr>
    </w:lvl>
    <w:lvl w:ilvl="1" w:tplc="04180019" w:tentative="1">
      <w:start w:val="1"/>
      <w:numFmt w:val="lowerLetter"/>
      <w:lvlText w:val="%2."/>
      <w:lvlJc w:val="left"/>
      <w:pPr>
        <w:ind w:left="1965" w:hanging="360"/>
      </w:pPr>
    </w:lvl>
    <w:lvl w:ilvl="2" w:tplc="0418001B" w:tentative="1">
      <w:start w:val="1"/>
      <w:numFmt w:val="lowerRoman"/>
      <w:lvlText w:val="%3."/>
      <w:lvlJc w:val="right"/>
      <w:pPr>
        <w:ind w:left="2685" w:hanging="180"/>
      </w:pPr>
    </w:lvl>
    <w:lvl w:ilvl="3" w:tplc="0418000F" w:tentative="1">
      <w:start w:val="1"/>
      <w:numFmt w:val="decimal"/>
      <w:lvlText w:val="%4."/>
      <w:lvlJc w:val="left"/>
      <w:pPr>
        <w:ind w:left="3405" w:hanging="360"/>
      </w:pPr>
    </w:lvl>
    <w:lvl w:ilvl="4" w:tplc="04180019" w:tentative="1">
      <w:start w:val="1"/>
      <w:numFmt w:val="lowerLetter"/>
      <w:lvlText w:val="%5."/>
      <w:lvlJc w:val="left"/>
      <w:pPr>
        <w:ind w:left="4125" w:hanging="360"/>
      </w:pPr>
    </w:lvl>
    <w:lvl w:ilvl="5" w:tplc="0418001B" w:tentative="1">
      <w:start w:val="1"/>
      <w:numFmt w:val="lowerRoman"/>
      <w:lvlText w:val="%6."/>
      <w:lvlJc w:val="right"/>
      <w:pPr>
        <w:ind w:left="4845" w:hanging="180"/>
      </w:pPr>
    </w:lvl>
    <w:lvl w:ilvl="6" w:tplc="0418000F" w:tentative="1">
      <w:start w:val="1"/>
      <w:numFmt w:val="decimal"/>
      <w:lvlText w:val="%7."/>
      <w:lvlJc w:val="left"/>
      <w:pPr>
        <w:ind w:left="5565" w:hanging="360"/>
      </w:pPr>
    </w:lvl>
    <w:lvl w:ilvl="7" w:tplc="04180019" w:tentative="1">
      <w:start w:val="1"/>
      <w:numFmt w:val="lowerLetter"/>
      <w:lvlText w:val="%8."/>
      <w:lvlJc w:val="left"/>
      <w:pPr>
        <w:ind w:left="6285" w:hanging="360"/>
      </w:pPr>
    </w:lvl>
    <w:lvl w:ilvl="8" w:tplc="0418001B" w:tentative="1">
      <w:start w:val="1"/>
      <w:numFmt w:val="lowerRoman"/>
      <w:lvlText w:val="%9."/>
      <w:lvlJc w:val="right"/>
      <w:pPr>
        <w:ind w:left="7005" w:hanging="180"/>
      </w:pPr>
    </w:lvl>
  </w:abstractNum>
  <w:abstractNum w:abstractNumId="3" w15:restartNumberingAfterBreak="0">
    <w:nsid w:val="07796CCE"/>
    <w:multiLevelType w:val="hybridMultilevel"/>
    <w:tmpl w:val="BAB657F4"/>
    <w:lvl w:ilvl="0" w:tplc="04180001">
      <w:start w:val="1"/>
      <w:numFmt w:val="bullet"/>
      <w:lvlText w:val=""/>
      <w:lvlJc w:val="left"/>
      <w:pPr>
        <w:ind w:left="1245" w:hanging="360"/>
      </w:pPr>
      <w:rPr>
        <w:rFonts w:ascii="Symbol" w:hAnsi="Symbol" w:hint="default"/>
      </w:rPr>
    </w:lvl>
    <w:lvl w:ilvl="1" w:tplc="04180003" w:tentative="1">
      <w:start w:val="1"/>
      <w:numFmt w:val="bullet"/>
      <w:lvlText w:val="o"/>
      <w:lvlJc w:val="left"/>
      <w:pPr>
        <w:ind w:left="1965" w:hanging="360"/>
      </w:pPr>
      <w:rPr>
        <w:rFonts w:ascii="Courier New" w:hAnsi="Courier New" w:cs="Courier New" w:hint="default"/>
      </w:rPr>
    </w:lvl>
    <w:lvl w:ilvl="2" w:tplc="04180005" w:tentative="1">
      <w:start w:val="1"/>
      <w:numFmt w:val="bullet"/>
      <w:lvlText w:val=""/>
      <w:lvlJc w:val="left"/>
      <w:pPr>
        <w:ind w:left="2685" w:hanging="360"/>
      </w:pPr>
      <w:rPr>
        <w:rFonts w:ascii="Wingdings" w:hAnsi="Wingdings" w:hint="default"/>
      </w:rPr>
    </w:lvl>
    <w:lvl w:ilvl="3" w:tplc="04180001" w:tentative="1">
      <w:start w:val="1"/>
      <w:numFmt w:val="bullet"/>
      <w:lvlText w:val=""/>
      <w:lvlJc w:val="left"/>
      <w:pPr>
        <w:ind w:left="3405" w:hanging="360"/>
      </w:pPr>
      <w:rPr>
        <w:rFonts w:ascii="Symbol" w:hAnsi="Symbol" w:hint="default"/>
      </w:rPr>
    </w:lvl>
    <w:lvl w:ilvl="4" w:tplc="04180003" w:tentative="1">
      <w:start w:val="1"/>
      <w:numFmt w:val="bullet"/>
      <w:lvlText w:val="o"/>
      <w:lvlJc w:val="left"/>
      <w:pPr>
        <w:ind w:left="4125" w:hanging="360"/>
      </w:pPr>
      <w:rPr>
        <w:rFonts w:ascii="Courier New" w:hAnsi="Courier New" w:cs="Courier New" w:hint="default"/>
      </w:rPr>
    </w:lvl>
    <w:lvl w:ilvl="5" w:tplc="04180005" w:tentative="1">
      <w:start w:val="1"/>
      <w:numFmt w:val="bullet"/>
      <w:lvlText w:val=""/>
      <w:lvlJc w:val="left"/>
      <w:pPr>
        <w:ind w:left="4845" w:hanging="360"/>
      </w:pPr>
      <w:rPr>
        <w:rFonts w:ascii="Wingdings" w:hAnsi="Wingdings" w:hint="default"/>
      </w:rPr>
    </w:lvl>
    <w:lvl w:ilvl="6" w:tplc="04180001" w:tentative="1">
      <w:start w:val="1"/>
      <w:numFmt w:val="bullet"/>
      <w:lvlText w:val=""/>
      <w:lvlJc w:val="left"/>
      <w:pPr>
        <w:ind w:left="5565" w:hanging="360"/>
      </w:pPr>
      <w:rPr>
        <w:rFonts w:ascii="Symbol" w:hAnsi="Symbol" w:hint="default"/>
      </w:rPr>
    </w:lvl>
    <w:lvl w:ilvl="7" w:tplc="04180003" w:tentative="1">
      <w:start w:val="1"/>
      <w:numFmt w:val="bullet"/>
      <w:lvlText w:val="o"/>
      <w:lvlJc w:val="left"/>
      <w:pPr>
        <w:ind w:left="6285" w:hanging="360"/>
      </w:pPr>
      <w:rPr>
        <w:rFonts w:ascii="Courier New" w:hAnsi="Courier New" w:cs="Courier New" w:hint="default"/>
      </w:rPr>
    </w:lvl>
    <w:lvl w:ilvl="8" w:tplc="04180005" w:tentative="1">
      <w:start w:val="1"/>
      <w:numFmt w:val="bullet"/>
      <w:lvlText w:val=""/>
      <w:lvlJc w:val="left"/>
      <w:pPr>
        <w:ind w:left="7005" w:hanging="360"/>
      </w:pPr>
      <w:rPr>
        <w:rFonts w:ascii="Wingdings" w:hAnsi="Wingdings" w:hint="default"/>
      </w:rPr>
    </w:lvl>
  </w:abstractNum>
  <w:abstractNum w:abstractNumId="4" w15:restartNumberingAfterBreak="0">
    <w:nsid w:val="09287C09"/>
    <w:multiLevelType w:val="hybridMultilevel"/>
    <w:tmpl w:val="74FC6014"/>
    <w:lvl w:ilvl="0" w:tplc="04090005">
      <w:start w:val="1"/>
      <w:numFmt w:val="bullet"/>
      <w:pStyle w:val="1"/>
      <w:lvlText w:val=""/>
      <w:lvlJc w:val="left"/>
      <w:pPr>
        <w:ind w:left="720" w:hanging="360"/>
      </w:pPr>
      <w:rPr>
        <w:rFonts w:ascii="Wingdings" w:hAnsi="Wingdings" w:hint="default"/>
      </w:rPr>
    </w:lvl>
    <w:lvl w:ilvl="1" w:tplc="04090003">
      <w:start w:val="1"/>
      <w:numFmt w:val="bullet"/>
      <w:pStyle w:val="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pStyle w:val="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9A0ADC"/>
    <w:multiLevelType w:val="multilevel"/>
    <w:tmpl w:val="73448952"/>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223B7117"/>
    <w:multiLevelType w:val="hybridMultilevel"/>
    <w:tmpl w:val="C1C8BFF0"/>
    <w:lvl w:ilvl="0" w:tplc="0E1CA518">
      <w:start w:val="1"/>
      <w:numFmt w:val="bullet"/>
      <w:lvlText w:val="•"/>
      <w:lvlJc w:val="left"/>
      <w:pPr>
        <w:tabs>
          <w:tab w:val="num" w:pos="720"/>
        </w:tabs>
        <w:ind w:left="720" w:hanging="360"/>
      </w:pPr>
      <w:rPr>
        <w:rFonts w:ascii="Times New Roman" w:hAnsi="Times New Roman" w:hint="default"/>
      </w:rPr>
    </w:lvl>
    <w:lvl w:ilvl="1" w:tplc="1CA4335C" w:tentative="1">
      <w:start w:val="1"/>
      <w:numFmt w:val="bullet"/>
      <w:lvlText w:val="•"/>
      <w:lvlJc w:val="left"/>
      <w:pPr>
        <w:tabs>
          <w:tab w:val="num" w:pos="1440"/>
        </w:tabs>
        <w:ind w:left="1440" w:hanging="360"/>
      </w:pPr>
      <w:rPr>
        <w:rFonts w:ascii="Times New Roman" w:hAnsi="Times New Roman" w:hint="default"/>
      </w:rPr>
    </w:lvl>
    <w:lvl w:ilvl="2" w:tplc="D7102F34" w:tentative="1">
      <w:start w:val="1"/>
      <w:numFmt w:val="bullet"/>
      <w:lvlText w:val="•"/>
      <w:lvlJc w:val="left"/>
      <w:pPr>
        <w:tabs>
          <w:tab w:val="num" w:pos="2160"/>
        </w:tabs>
        <w:ind w:left="2160" w:hanging="360"/>
      </w:pPr>
      <w:rPr>
        <w:rFonts w:ascii="Times New Roman" w:hAnsi="Times New Roman" w:hint="default"/>
      </w:rPr>
    </w:lvl>
    <w:lvl w:ilvl="3" w:tplc="4D3C4D8A" w:tentative="1">
      <w:start w:val="1"/>
      <w:numFmt w:val="bullet"/>
      <w:lvlText w:val="•"/>
      <w:lvlJc w:val="left"/>
      <w:pPr>
        <w:tabs>
          <w:tab w:val="num" w:pos="2880"/>
        </w:tabs>
        <w:ind w:left="2880" w:hanging="360"/>
      </w:pPr>
      <w:rPr>
        <w:rFonts w:ascii="Times New Roman" w:hAnsi="Times New Roman" w:hint="default"/>
      </w:rPr>
    </w:lvl>
    <w:lvl w:ilvl="4" w:tplc="3DF66AC4" w:tentative="1">
      <w:start w:val="1"/>
      <w:numFmt w:val="bullet"/>
      <w:lvlText w:val="•"/>
      <w:lvlJc w:val="left"/>
      <w:pPr>
        <w:tabs>
          <w:tab w:val="num" w:pos="3600"/>
        </w:tabs>
        <w:ind w:left="3600" w:hanging="360"/>
      </w:pPr>
      <w:rPr>
        <w:rFonts w:ascii="Times New Roman" w:hAnsi="Times New Roman" w:hint="default"/>
      </w:rPr>
    </w:lvl>
    <w:lvl w:ilvl="5" w:tplc="3F74A83A" w:tentative="1">
      <w:start w:val="1"/>
      <w:numFmt w:val="bullet"/>
      <w:lvlText w:val="•"/>
      <w:lvlJc w:val="left"/>
      <w:pPr>
        <w:tabs>
          <w:tab w:val="num" w:pos="4320"/>
        </w:tabs>
        <w:ind w:left="4320" w:hanging="360"/>
      </w:pPr>
      <w:rPr>
        <w:rFonts w:ascii="Times New Roman" w:hAnsi="Times New Roman" w:hint="default"/>
      </w:rPr>
    </w:lvl>
    <w:lvl w:ilvl="6" w:tplc="38E4E300" w:tentative="1">
      <w:start w:val="1"/>
      <w:numFmt w:val="bullet"/>
      <w:lvlText w:val="•"/>
      <w:lvlJc w:val="left"/>
      <w:pPr>
        <w:tabs>
          <w:tab w:val="num" w:pos="5040"/>
        </w:tabs>
        <w:ind w:left="5040" w:hanging="360"/>
      </w:pPr>
      <w:rPr>
        <w:rFonts w:ascii="Times New Roman" w:hAnsi="Times New Roman" w:hint="default"/>
      </w:rPr>
    </w:lvl>
    <w:lvl w:ilvl="7" w:tplc="0736106A" w:tentative="1">
      <w:start w:val="1"/>
      <w:numFmt w:val="bullet"/>
      <w:lvlText w:val="•"/>
      <w:lvlJc w:val="left"/>
      <w:pPr>
        <w:tabs>
          <w:tab w:val="num" w:pos="5760"/>
        </w:tabs>
        <w:ind w:left="5760" w:hanging="360"/>
      </w:pPr>
      <w:rPr>
        <w:rFonts w:ascii="Times New Roman" w:hAnsi="Times New Roman" w:hint="default"/>
      </w:rPr>
    </w:lvl>
    <w:lvl w:ilvl="8" w:tplc="0D7470F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3EE0C0C"/>
    <w:multiLevelType w:val="hybridMultilevel"/>
    <w:tmpl w:val="67F248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6D1726"/>
    <w:multiLevelType w:val="multilevel"/>
    <w:tmpl w:val="1A2E9E72"/>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264D04CA"/>
    <w:multiLevelType w:val="hybridMultilevel"/>
    <w:tmpl w:val="4BAEC91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99F6578"/>
    <w:multiLevelType w:val="multilevel"/>
    <w:tmpl w:val="85D2561C"/>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b w:val="0"/>
        <w:sz w:val="24"/>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30770DF1"/>
    <w:multiLevelType w:val="hybridMultilevel"/>
    <w:tmpl w:val="0F0A562E"/>
    <w:lvl w:ilvl="0" w:tplc="D0E2174E">
      <w:start w:val="1"/>
      <w:numFmt w:val="decimal"/>
      <w:lvlText w:val="%1."/>
      <w:lvlJc w:val="left"/>
      <w:pPr>
        <w:tabs>
          <w:tab w:val="num" w:pos="1069"/>
        </w:tabs>
        <w:ind w:left="1069" w:hanging="360"/>
      </w:pPr>
      <w:rPr>
        <w:rFonts w:ascii="Arial" w:eastAsia="Times New Roman" w:hAnsi="Arial" w:cs="Arial"/>
      </w:rPr>
    </w:lvl>
    <w:lvl w:ilvl="1" w:tplc="04190001">
      <w:start w:val="1"/>
      <w:numFmt w:val="bullet"/>
      <w:lvlText w:val=""/>
      <w:lvlJc w:val="left"/>
      <w:pPr>
        <w:tabs>
          <w:tab w:val="num" w:pos="1789"/>
        </w:tabs>
        <w:ind w:left="1789" w:hanging="360"/>
      </w:pPr>
      <w:rPr>
        <w:rFonts w:ascii="Symbol" w:hAnsi="Symbol" w:hint="default"/>
      </w:rPr>
    </w:lvl>
    <w:lvl w:ilvl="2" w:tplc="04190005">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2" w15:restartNumberingAfterBreak="0">
    <w:nsid w:val="34C10878"/>
    <w:multiLevelType w:val="multilevel"/>
    <w:tmpl w:val="4BE646FE"/>
    <w:lvl w:ilvl="0">
      <w:start w:val="1"/>
      <w:numFmt w:val="decimal"/>
      <w:lvlText w:val="%1."/>
      <w:lvlJc w:val="left"/>
      <w:pPr>
        <w:tabs>
          <w:tab w:val="num" w:pos="567"/>
        </w:tabs>
        <w:ind w:left="567" w:hanging="567"/>
      </w:pPr>
      <w:rPr>
        <w:rFonts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442ED1"/>
    <w:multiLevelType w:val="hybridMultilevel"/>
    <w:tmpl w:val="934C79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AD7171"/>
    <w:multiLevelType w:val="multilevel"/>
    <w:tmpl w:val="8C262D86"/>
    <w:lvl w:ilvl="0">
      <w:start w:val="1"/>
      <w:numFmt w:val="decimal"/>
      <w:pStyle w:val="numbered"/>
      <w:lvlText w:val="%1."/>
      <w:lvlJc w:val="left"/>
      <w:pPr>
        <w:tabs>
          <w:tab w:val="num" w:pos="567"/>
        </w:tabs>
        <w:ind w:left="567" w:hanging="567"/>
      </w:pPr>
      <w:rPr>
        <w:rFonts w:hint="default"/>
      </w:rPr>
    </w:lvl>
    <w:lvl w:ilvl="1">
      <w:start w:val="1"/>
      <w:numFmt w:val="decimal"/>
      <w:lvlText w:val="%1.%2."/>
      <w:lvlJc w:val="left"/>
      <w:pPr>
        <w:tabs>
          <w:tab w:val="num" w:pos="525"/>
        </w:tabs>
        <w:ind w:left="525" w:hanging="52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C584711"/>
    <w:multiLevelType w:val="hybridMultilevel"/>
    <w:tmpl w:val="4DAE7102"/>
    <w:lvl w:ilvl="0" w:tplc="D0E2174E">
      <w:start w:val="1"/>
      <w:numFmt w:val="decimal"/>
      <w:lvlText w:val="%1."/>
      <w:lvlJc w:val="left"/>
      <w:pPr>
        <w:tabs>
          <w:tab w:val="num" w:pos="1069"/>
        </w:tabs>
        <w:ind w:left="1069" w:hanging="360"/>
      </w:pPr>
      <w:rPr>
        <w:rFonts w:ascii="Arial" w:eastAsia="Times New Roman" w:hAnsi="Arial" w:cs="Arial"/>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3CD16BD9"/>
    <w:multiLevelType w:val="hybridMultilevel"/>
    <w:tmpl w:val="5EBCD884"/>
    <w:lvl w:ilvl="0" w:tplc="D9C4D87A">
      <w:start w:val="1"/>
      <w:numFmt w:val="bullet"/>
      <w:lvlText w:val="o"/>
      <w:lvlJc w:val="left"/>
      <w:pPr>
        <w:tabs>
          <w:tab w:val="num" w:pos="1800"/>
        </w:tabs>
        <w:ind w:left="1800" w:hanging="360"/>
      </w:pPr>
      <w:rPr>
        <w:rFonts w:ascii="Courier New" w:hAnsi="Courier New" w:cs="Courier New" w:hint="default"/>
        <w:i w:val="0"/>
      </w:rPr>
    </w:lvl>
    <w:lvl w:ilvl="1" w:tplc="04190019">
      <w:start w:val="1"/>
      <w:numFmt w:val="lowerLetter"/>
      <w:lvlText w:val="%2."/>
      <w:lvlJc w:val="left"/>
      <w:pPr>
        <w:tabs>
          <w:tab w:val="num" w:pos="2340"/>
        </w:tabs>
        <w:ind w:left="2340" w:hanging="360"/>
      </w:pPr>
    </w:lvl>
    <w:lvl w:ilvl="2" w:tplc="0419001B">
      <w:start w:val="1"/>
      <w:numFmt w:val="lowerRoman"/>
      <w:lvlText w:val="%3."/>
      <w:lvlJc w:val="right"/>
      <w:pPr>
        <w:tabs>
          <w:tab w:val="num" w:pos="3060"/>
        </w:tabs>
        <w:ind w:left="3060" w:hanging="180"/>
      </w:pPr>
    </w:lvl>
    <w:lvl w:ilvl="3" w:tplc="0419000F">
      <w:start w:val="1"/>
      <w:numFmt w:val="decimal"/>
      <w:lvlText w:val="%4."/>
      <w:lvlJc w:val="left"/>
      <w:pPr>
        <w:tabs>
          <w:tab w:val="num" w:pos="3780"/>
        </w:tabs>
        <w:ind w:left="3780" w:hanging="360"/>
      </w:pPr>
    </w:lvl>
    <w:lvl w:ilvl="4" w:tplc="04190001">
      <w:start w:val="1"/>
      <w:numFmt w:val="bullet"/>
      <w:lvlText w:val=""/>
      <w:lvlJc w:val="left"/>
      <w:pPr>
        <w:tabs>
          <w:tab w:val="num" w:pos="4500"/>
        </w:tabs>
        <w:ind w:left="4500" w:hanging="360"/>
      </w:pPr>
      <w:rPr>
        <w:rFonts w:ascii="Symbol" w:hAnsi="Symbol" w:hint="default"/>
      </w:r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7" w15:restartNumberingAfterBreak="0">
    <w:nsid w:val="448F6FD6"/>
    <w:multiLevelType w:val="hybridMultilevel"/>
    <w:tmpl w:val="89A4C0DC"/>
    <w:lvl w:ilvl="0" w:tplc="04190003">
      <w:start w:val="1"/>
      <w:numFmt w:val="bullet"/>
      <w:lvlText w:val="o"/>
      <w:lvlJc w:val="left"/>
      <w:pPr>
        <w:tabs>
          <w:tab w:val="num" w:pos="1800"/>
        </w:tabs>
        <w:ind w:left="1800" w:hanging="360"/>
      </w:pPr>
      <w:rPr>
        <w:rFonts w:ascii="Courier New" w:hAnsi="Courier New" w:cs="Courier New" w:hint="default"/>
      </w:rPr>
    </w:lvl>
    <w:lvl w:ilvl="1" w:tplc="04190019">
      <w:start w:val="1"/>
      <w:numFmt w:val="lowerLetter"/>
      <w:lvlText w:val="%2."/>
      <w:lvlJc w:val="left"/>
      <w:pPr>
        <w:tabs>
          <w:tab w:val="num" w:pos="2340"/>
        </w:tabs>
        <w:ind w:left="2340" w:hanging="360"/>
      </w:pPr>
    </w:lvl>
    <w:lvl w:ilvl="2" w:tplc="0419001B">
      <w:start w:val="1"/>
      <w:numFmt w:val="lowerRoman"/>
      <w:lvlText w:val="%3."/>
      <w:lvlJc w:val="right"/>
      <w:pPr>
        <w:tabs>
          <w:tab w:val="num" w:pos="3060"/>
        </w:tabs>
        <w:ind w:left="3060" w:hanging="180"/>
      </w:pPr>
    </w:lvl>
    <w:lvl w:ilvl="3" w:tplc="0419000F">
      <w:start w:val="1"/>
      <w:numFmt w:val="decimal"/>
      <w:lvlText w:val="%4."/>
      <w:lvlJc w:val="left"/>
      <w:pPr>
        <w:tabs>
          <w:tab w:val="num" w:pos="3780"/>
        </w:tabs>
        <w:ind w:left="3780" w:hanging="360"/>
      </w:pPr>
    </w:lvl>
    <w:lvl w:ilvl="4" w:tplc="04190001">
      <w:start w:val="1"/>
      <w:numFmt w:val="bullet"/>
      <w:lvlText w:val=""/>
      <w:lvlJc w:val="left"/>
      <w:pPr>
        <w:tabs>
          <w:tab w:val="num" w:pos="4500"/>
        </w:tabs>
        <w:ind w:left="4500" w:hanging="360"/>
      </w:pPr>
      <w:rPr>
        <w:rFonts w:ascii="Symbol" w:hAnsi="Symbol" w:hint="default"/>
      </w:r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8" w15:restartNumberingAfterBreak="0">
    <w:nsid w:val="466B33A6"/>
    <w:multiLevelType w:val="multilevel"/>
    <w:tmpl w:val="57DE74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2E45AF"/>
    <w:multiLevelType w:val="multilevel"/>
    <w:tmpl w:val="074A085A"/>
    <w:lvl w:ilvl="0">
      <w:start w:val="1"/>
      <w:numFmt w:val="decimal"/>
      <w:lvlText w:val="%1."/>
      <w:lvlJc w:val="left"/>
      <w:pPr>
        <w:tabs>
          <w:tab w:val="num" w:pos="567"/>
        </w:tabs>
        <w:ind w:left="567" w:hanging="567"/>
      </w:pPr>
      <w:rPr>
        <w:rFonts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1E463AD"/>
    <w:multiLevelType w:val="hybridMultilevel"/>
    <w:tmpl w:val="3C5858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752770"/>
    <w:multiLevelType w:val="multilevel"/>
    <w:tmpl w:val="5A4C7092"/>
    <w:lvl w:ilvl="0">
      <w:start w:val="1"/>
      <w:numFmt w:val="decimal"/>
      <w:lvlText w:val="%1."/>
      <w:lvlJc w:val="right"/>
      <w:pPr>
        <w:tabs>
          <w:tab w:val="num" w:pos="390"/>
        </w:tabs>
        <w:ind w:left="390" w:hanging="360"/>
      </w:pPr>
      <w:rPr>
        <w:rFonts w:hint="default"/>
        <w:b/>
        <w:sz w:val="20"/>
        <w:szCs w:val="20"/>
      </w:rPr>
    </w:lvl>
    <w:lvl w:ilvl="1">
      <w:start w:val="1"/>
      <w:numFmt w:val="decimal"/>
      <w:lvlText w:val="%1.%2"/>
      <w:lvlJc w:val="left"/>
      <w:pPr>
        <w:tabs>
          <w:tab w:val="num" w:pos="502"/>
        </w:tabs>
        <w:ind w:left="502" w:hanging="360"/>
      </w:pPr>
      <w:rPr>
        <w:rFonts w:ascii="Arial" w:hAnsi="Arial" w:cs="Arial" w:hint="default"/>
        <w:b w:val="0"/>
        <w:sz w:val="20"/>
        <w:szCs w:val="2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b w:val="0"/>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8F61E55"/>
    <w:multiLevelType w:val="hybridMultilevel"/>
    <w:tmpl w:val="8DE4E55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305C9712">
      <w:numFmt w:val="bullet"/>
      <w:lvlText w:val="-"/>
      <w:lvlJc w:val="left"/>
      <w:pPr>
        <w:ind w:left="2160" w:hanging="360"/>
      </w:pPr>
      <w:rPr>
        <w:rFonts w:ascii="Arial" w:eastAsia="Times New Roman" w:hAnsi="Arial" w:cs="Aria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1D1848"/>
    <w:multiLevelType w:val="hybridMultilevel"/>
    <w:tmpl w:val="7562B86C"/>
    <w:lvl w:ilvl="0" w:tplc="87203FE2">
      <w:start w:val="1"/>
      <w:numFmt w:val="bullet"/>
      <w:lvlText w:val="•"/>
      <w:lvlJc w:val="left"/>
      <w:pPr>
        <w:tabs>
          <w:tab w:val="num" w:pos="720"/>
        </w:tabs>
        <w:ind w:left="720" w:hanging="360"/>
      </w:pPr>
      <w:rPr>
        <w:rFonts w:ascii="Times New Roman" w:hAnsi="Times New Roman" w:hint="default"/>
      </w:rPr>
    </w:lvl>
    <w:lvl w:ilvl="1" w:tplc="5234212C" w:tentative="1">
      <w:start w:val="1"/>
      <w:numFmt w:val="bullet"/>
      <w:lvlText w:val="•"/>
      <w:lvlJc w:val="left"/>
      <w:pPr>
        <w:tabs>
          <w:tab w:val="num" w:pos="1440"/>
        </w:tabs>
        <w:ind w:left="1440" w:hanging="360"/>
      </w:pPr>
      <w:rPr>
        <w:rFonts w:ascii="Times New Roman" w:hAnsi="Times New Roman" w:hint="default"/>
      </w:rPr>
    </w:lvl>
    <w:lvl w:ilvl="2" w:tplc="06FA22BE" w:tentative="1">
      <w:start w:val="1"/>
      <w:numFmt w:val="bullet"/>
      <w:lvlText w:val="•"/>
      <w:lvlJc w:val="left"/>
      <w:pPr>
        <w:tabs>
          <w:tab w:val="num" w:pos="2160"/>
        </w:tabs>
        <w:ind w:left="2160" w:hanging="360"/>
      </w:pPr>
      <w:rPr>
        <w:rFonts w:ascii="Times New Roman" w:hAnsi="Times New Roman" w:hint="default"/>
      </w:rPr>
    </w:lvl>
    <w:lvl w:ilvl="3" w:tplc="43F80AC0" w:tentative="1">
      <w:start w:val="1"/>
      <w:numFmt w:val="bullet"/>
      <w:lvlText w:val="•"/>
      <w:lvlJc w:val="left"/>
      <w:pPr>
        <w:tabs>
          <w:tab w:val="num" w:pos="2880"/>
        </w:tabs>
        <w:ind w:left="2880" w:hanging="360"/>
      </w:pPr>
      <w:rPr>
        <w:rFonts w:ascii="Times New Roman" w:hAnsi="Times New Roman" w:hint="default"/>
      </w:rPr>
    </w:lvl>
    <w:lvl w:ilvl="4" w:tplc="C7020A98" w:tentative="1">
      <w:start w:val="1"/>
      <w:numFmt w:val="bullet"/>
      <w:lvlText w:val="•"/>
      <w:lvlJc w:val="left"/>
      <w:pPr>
        <w:tabs>
          <w:tab w:val="num" w:pos="3600"/>
        </w:tabs>
        <w:ind w:left="3600" w:hanging="360"/>
      </w:pPr>
      <w:rPr>
        <w:rFonts w:ascii="Times New Roman" w:hAnsi="Times New Roman" w:hint="default"/>
      </w:rPr>
    </w:lvl>
    <w:lvl w:ilvl="5" w:tplc="C2084F96" w:tentative="1">
      <w:start w:val="1"/>
      <w:numFmt w:val="bullet"/>
      <w:lvlText w:val="•"/>
      <w:lvlJc w:val="left"/>
      <w:pPr>
        <w:tabs>
          <w:tab w:val="num" w:pos="4320"/>
        </w:tabs>
        <w:ind w:left="4320" w:hanging="360"/>
      </w:pPr>
      <w:rPr>
        <w:rFonts w:ascii="Times New Roman" w:hAnsi="Times New Roman" w:hint="default"/>
      </w:rPr>
    </w:lvl>
    <w:lvl w:ilvl="6" w:tplc="B5EA550E" w:tentative="1">
      <w:start w:val="1"/>
      <w:numFmt w:val="bullet"/>
      <w:lvlText w:val="•"/>
      <w:lvlJc w:val="left"/>
      <w:pPr>
        <w:tabs>
          <w:tab w:val="num" w:pos="5040"/>
        </w:tabs>
        <w:ind w:left="5040" w:hanging="360"/>
      </w:pPr>
      <w:rPr>
        <w:rFonts w:ascii="Times New Roman" w:hAnsi="Times New Roman" w:hint="default"/>
      </w:rPr>
    </w:lvl>
    <w:lvl w:ilvl="7" w:tplc="95649730" w:tentative="1">
      <w:start w:val="1"/>
      <w:numFmt w:val="bullet"/>
      <w:lvlText w:val="•"/>
      <w:lvlJc w:val="left"/>
      <w:pPr>
        <w:tabs>
          <w:tab w:val="num" w:pos="5760"/>
        </w:tabs>
        <w:ind w:left="5760" w:hanging="360"/>
      </w:pPr>
      <w:rPr>
        <w:rFonts w:ascii="Times New Roman" w:hAnsi="Times New Roman" w:hint="default"/>
      </w:rPr>
    </w:lvl>
    <w:lvl w:ilvl="8" w:tplc="B914B82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D845D7E"/>
    <w:multiLevelType w:val="multilevel"/>
    <w:tmpl w:val="CEBEF6FA"/>
    <w:lvl w:ilvl="0">
      <w:start w:val="8"/>
      <w:numFmt w:val="decimal"/>
      <w:lvlText w:val="%1"/>
      <w:lvlJc w:val="left"/>
      <w:pPr>
        <w:ind w:left="360" w:hanging="360"/>
      </w:pPr>
      <w:rPr>
        <w:rFonts w:hint="default"/>
        <w:b w:val="0"/>
        <w:sz w:val="24"/>
      </w:rPr>
    </w:lvl>
    <w:lvl w:ilvl="1">
      <w:start w:val="1"/>
      <w:numFmt w:val="decimal"/>
      <w:lvlText w:val="%1.%2"/>
      <w:lvlJc w:val="left"/>
      <w:pPr>
        <w:ind w:left="360" w:hanging="360"/>
      </w:pPr>
      <w:rPr>
        <w:rFonts w:hint="default"/>
        <w:b w:val="0"/>
        <w:sz w:val="20"/>
      </w:rPr>
    </w:lvl>
    <w:lvl w:ilvl="2">
      <w:start w:val="1"/>
      <w:numFmt w:val="decimal"/>
      <w:lvlText w:val="%1.%2.%3"/>
      <w:lvlJc w:val="left"/>
      <w:pPr>
        <w:ind w:left="720" w:hanging="720"/>
      </w:pPr>
      <w:rPr>
        <w:rFonts w:hint="default"/>
        <w:b w:val="0"/>
        <w:sz w:val="24"/>
      </w:rPr>
    </w:lvl>
    <w:lvl w:ilvl="3">
      <w:start w:val="1"/>
      <w:numFmt w:val="decimal"/>
      <w:lvlText w:val="%1.%2.%3.%4"/>
      <w:lvlJc w:val="left"/>
      <w:pPr>
        <w:ind w:left="1080" w:hanging="108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440" w:hanging="144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800" w:hanging="1800"/>
      </w:pPr>
      <w:rPr>
        <w:rFonts w:hint="default"/>
        <w:b w:val="0"/>
        <w:sz w:val="24"/>
      </w:rPr>
    </w:lvl>
    <w:lvl w:ilvl="8">
      <w:start w:val="1"/>
      <w:numFmt w:val="decimal"/>
      <w:lvlText w:val="%1.%2.%3.%4.%5.%6.%7.%8.%9"/>
      <w:lvlJc w:val="left"/>
      <w:pPr>
        <w:ind w:left="2160" w:hanging="2160"/>
      </w:pPr>
      <w:rPr>
        <w:rFonts w:hint="default"/>
        <w:b w:val="0"/>
        <w:sz w:val="24"/>
      </w:rPr>
    </w:lvl>
  </w:abstractNum>
  <w:abstractNum w:abstractNumId="25" w15:restartNumberingAfterBreak="0">
    <w:nsid w:val="5FBB5DF0"/>
    <w:multiLevelType w:val="hybridMultilevel"/>
    <w:tmpl w:val="1DBAD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FB42A5"/>
    <w:multiLevelType w:val="hybridMultilevel"/>
    <w:tmpl w:val="0CFA414C"/>
    <w:lvl w:ilvl="0" w:tplc="5D641EC2">
      <w:start w:val="1"/>
      <w:numFmt w:val="bullet"/>
      <w:lvlText w:val="•"/>
      <w:lvlJc w:val="left"/>
      <w:pPr>
        <w:tabs>
          <w:tab w:val="num" w:pos="720"/>
        </w:tabs>
        <w:ind w:left="720" w:hanging="360"/>
      </w:pPr>
      <w:rPr>
        <w:rFonts w:ascii="Times New Roman" w:hAnsi="Times New Roman" w:hint="default"/>
      </w:rPr>
    </w:lvl>
    <w:lvl w:ilvl="1" w:tplc="58065F70" w:tentative="1">
      <w:start w:val="1"/>
      <w:numFmt w:val="bullet"/>
      <w:lvlText w:val="•"/>
      <w:lvlJc w:val="left"/>
      <w:pPr>
        <w:tabs>
          <w:tab w:val="num" w:pos="1440"/>
        </w:tabs>
        <w:ind w:left="1440" w:hanging="360"/>
      </w:pPr>
      <w:rPr>
        <w:rFonts w:ascii="Times New Roman" w:hAnsi="Times New Roman" w:hint="default"/>
      </w:rPr>
    </w:lvl>
    <w:lvl w:ilvl="2" w:tplc="9FDC331C" w:tentative="1">
      <w:start w:val="1"/>
      <w:numFmt w:val="bullet"/>
      <w:lvlText w:val="•"/>
      <w:lvlJc w:val="left"/>
      <w:pPr>
        <w:tabs>
          <w:tab w:val="num" w:pos="2160"/>
        </w:tabs>
        <w:ind w:left="2160" w:hanging="360"/>
      </w:pPr>
      <w:rPr>
        <w:rFonts w:ascii="Times New Roman" w:hAnsi="Times New Roman" w:hint="default"/>
      </w:rPr>
    </w:lvl>
    <w:lvl w:ilvl="3" w:tplc="0D98DBA0" w:tentative="1">
      <w:start w:val="1"/>
      <w:numFmt w:val="bullet"/>
      <w:lvlText w:val="•"/>
      <w:lvlJc w:val="left"/>
      <w:pPr>
        <w:tabs>
          <w:tab w:val="num" w:pos="2880"/>
        </w:tabs>
        <w:ind w:left="2880" w:hanging="360"/>
      </w:pPr>
      <w:rPr>
        <w:rFonts w:ascii="Times New Roman" w:hAnsi="Times New Roman" w:hint="default"/>
      </w:rPr>
    </w:lvl>
    <w:lvl w:ilvl="4" w:tplc="36F6EE32" w:tentative="1">
      <w:start w:val="1"/>
      <w:numFmt w:val="bullet"/>
      <w:lvlText w:val="•"/>
      <w:lvlJc w:val="left"/>
      <w:pPr>
        <w:tabs>
          <w:tab w:val="num" w:pos="3600"/>
        </w:tabs>
        <w:ind w:left="3600" w:hanging="360"/>
      </w:pPr>
      <w:rPr>
        <w:rFonts w:ascii="Times New Roman" w:hAnsi="Times New Roman" w:hint="default"/>
      </w:rPr>
    </w:lvl>
    <w:lvl w:ilvl="5" w:tplc="B1E66610" w:tentative="1">
      <w:start w:val="1"/>
      <w:numFmt w:val="bullet"/>
      <w:lvlText w:val="•"/>
      <w:lvlJc w:val="left"/>
      <w:pPr>
        <w:tabs>
          <w:tab w:val="num" w:pos="4320"/>
        </w:tabs>
        <w:ind w:left="4320" w:hanging="360"/>
      </w:pPr>
      <w:rPr>
        <w:rFonts w:ascii="Times New Roman" w:hAnsi="Times New Roman" w:hint="default"/>
      </w:rPr>
    </w:lvl>
    <w:lvl w:ilvl="6" w:tplc="E8A0FC0E" w:tentative="1">
      <w:start w:val="1"/>
      <w:numFmt w:val="bullet"/>
      <w:lvlText w:val="•"/>
      <w:lvlJc w:val="left"/>
      <w:pPr>
        <w:tabs>
          <w:tab w:val="num" w:pos="5040"/>
        </w:tabs>
        <w:ind w:left="5040" w:hanging="360"/>
      </w:pPr>
      <w:rPr>
        <w:rFonts w:ascii="Times New Roman" w:hAnsi="Times New Roman" w:hint="default"/>
      </w:rPr>
    </w:lvl>
    <w:lvl w:ilvl="7" w:tplc="37DAF5E2" w:tentative="1">
      <w:start w:val="1"/>
      <w:numFmt w:val="bullet"/>
      <w:lvlText w:val="•"/>
      <w:lvlJc w:val="left"/>
      <w:pPr>
        <w:tabs>
          <w:tab w:val="num" w:pos="5760"/>
        </w:tabs>
        <w:ind w:left="5760" w:hanging="360"/>
      </w:pPr>
      <w:rPr>
        <w:rFonts w:ascii="Times New Roman" w:hAnsi="Times New Roman" w:hint="default"/>
      </w:rPr>
    </w:lvl>
    <w:lvl w:ilvl="8" w:tplc="9BFEF11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87C1F45"/>
    <w:multiLevelType w:val="multilevel"/>
    <w:tmpl w:val="29A8710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8984A79"/>
    <w:multiLevelType w:val="hybridMultilevel"/>
    <w:tmpl w:val="B3B00EFC"/>
    <w:lvl w:ilvl="0" w:tplc="04190001">
      <w:start w:val="1"/>
      <w:numFmt w:val="bullet"/>
      <w:lvlText w:val=""/>
      <w:lvlJc w:val="left"/>
      <w:pPr>
        <w:tabs>
          <w:tab w:val="num" w:pos="1800"/>
        </w:tabs>
        <w:ind w:left="1800" w:hanging="360"/>
      </w:pPr>
      <w:rPr>
        <w:rFonts w:ascii="Symbol" w:hAnsi="Symbol" w:hint="default"/>
      </w:rPr>
    </w:lvl>
    <w:lvl w:ilvl="1" w:tplc="04190019">
      <w:start w:val="1"/>
      <w:numFmt w:val="lowerLetter"/>
      <w:lvlText w:val="%2."/>
      <w:lvlJc w:val="left"/>
      <w:pPr>
        <w:tabs>
          <w:tab w:val="num" w:pos="2340"/>
        </w:tabs>
        <w:ind w:left="2340" w:hanging="360"/>
      </w:pPr>
    </w:lvl>
    <w:lvl w:ilvl="2" w:tplc="0419001B">
      <w:start w:val="1"/>
      <w:numFmt w:val="lowerRoman"/>
      <w:lvlText w:val="%3."/>
      <w:lvlJc w:val="right"/>
      <w:pPr>
        <w:tabs>
          <w:tab w:val="num" w:pos="3060"/>
        </w:tabs>
        <w:ind w:left="3060" w:hanging="180"/>
      </w:pPr>
    </w:lvl>
    <w:lvl w:ilvl="3" w:tplc="0419000F">
      <w:start w:val="1"/>
      <w:numFmt w:val="decimal"/>
      <w:lvlText w:val="%4."/>
      <w:lvlJc w:val="left"/>
      <w:pPr>
        <w:tabs>
          <w:tab w:val="num" w:pos="3780"/>
        </w:tabs>
        <w:ind w:left="3780" w:hanging="360"/>
      </w:pPr>
    </w:lvl>
    <w:lvl w:ilvl="4" w:tplc="04190001">
      <w:start w:val="1"/>
      <w:numFmt w:val="bullet"/>
      <w:lvlText w:val=""/>
      <w:lvlJc w:val="left"/>
      <w:pPr>
        <w:tabs>
          <w:tab w:val="num" w:pos="4500"/>
        </w:tabs>
        <w:ind w:left="4500" w:hanging="360"/>
      </w:pPr>
      <w:rPr>
        <w:rFonts w:ascii="Symbol" w:hAnsi="Symbol" w:hint="default"/>
      </w:r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29" w15:restartNumberingAfterBreak="0">
    <w:nsid w:val="722E1C6C"/>
    <w:multiLevelType w:val="hybridMultilevel"/>
    <w:tmpl w:val="05D4D4AE"/>
    <w:lvl w:ilvl="0" w:tplc="04090001">
      <w:start w:val="1"/>
      <w:numFmt w:val="bullet"/>
      <w:lvlText w:val=""/>
      <w:lvlJc w:val="left"/>
      <w:pPr>
        <w:ind w:left="1245" w:hanging="360"/>
      </w:pPr>
      <w:rPr>
        <w:rFonts w:ascii="Symbol" w:hAnsi="Symbol" w:hint="default"/>
      </w:rPr>
    </w:lvl>
    <w:lvl w:ilvl="1" w:tplc="04090003" w:tentative="1">
      <w:start w:val="1"/>
      <w:numFmt w:val="bullet"/>
      <w:lvlText w:val="o"/>
      <w:lvlJc w:val="left"/>
      <w:pPr>
        <w:ind w:left="1965" w:hanging="360"/>
      </w:pPr>
      <w:rPr>
        <w:rFonts w:ascii="Courier New" w:hAnsi="Courier New" w:cs="Courier New" w:hint="default"/>
      </w:rPr>
    </w:lvl>
    <w:lvl w:ilvl="2" w:tplc="04090005" w:tentative="1">
      <w:start w:val="1"/>
      <w:numFmt w:val="bullet"/>
      <w:lvlText w:val=""/>
      <w:lvlJc w:val="left"/>
      <w:pPr>
        <w:ind w:left="2685" w:hanging="360"/>
      </w:pPr>
      <w:rPr>
        <w:rFonts w:ascii="Wingdings" w:hAnsi="Wingdings" w:hint="default"/>
      </w:rPr>
    </w:lvl>
    <w:lvl w:ilvl="3" w:tplc="04090001" w:tentative="1">
      <w:start w:val="1"/>
      <w:numFmt w:val="bullet"/>
      <w:lvlText w:val=""/>
      <w:lvlJc w:val="left"/>
      <w:pPr>
        <w:ind w:left="3405" w:hanging="360"/>
      </w:pPr>
      <w:rPr>
        <w:rFonts w:ascii="Symbol" w:hAnsi="Symbol" w:hint="default"/>
      </w:rPr>
    </w:lvl>
    <w:lvl w:ilvl="4" w:tplc="04090003" w:tentative="1">
      <w:start w:val="1"/>
      <w:numFmt w:val="bullet"/>
      <w:lvlText w:val="o"/>
      <w:lvlJc w:val="left"/>
      <w:pPr>
        <w:ind w:left="4125" w:hanging="360"/>
      </w:pPr>
      <w:rPr>
        <w:rFonts w:ascii="Courier New" w:hAnsi="Courier New" w:cs="Courier New" w:hint="default"/>
      </w:rPr>
    </w:lvl>
    <w:lvl w:ilvl="5" w:tplc="04090005" w:tentative="1">
      <w:start w:val="1"/>
      <w:numFmt w:val="bullet"/>
      <w:lvlText w:val=""/>
      <w:lvlJc w:val="left"/>
      <w:pPr>
        <w:ind w:left="4845" w:hanging="360"/>
      </w:pPr>
      <w:rPr>
        <w:rFonts w:ascii="Wingdings" w:hAnsi="Wingdings" w:hint="default"/>
      </w:rPr>
    </w:lvl>
    <w:lvl w:ilvl="6" w:tplc="04090001" w:tentative="1">
      <w:start w:val="1"/>
      <w:numFmt w:val="bullet"/>
      <w:lvlText w:val=""/>
      <w:lvlJc w:val="left"/>
      <w:pPr>
        <w:ind w:left="5565" w:hanging="360"/>
      </w:pPr>
      <w:rPr>
        <w:rFonts w:ascii="Symbol" w:hAnsi="Symbol" w:hint="default"/>
      </w:rPr>
    </w:lvl>
    <w:lvl w:ilvl="7" w:tplc="04090003" w:tentative="1">
      <w:start w:val="1"/>
      <w:numFmt w:val="bullet"/>
      <w:lvlText w:val="o"/>
      <w:lvlJc w:val="left"/>
      <w:pPr>
        <w:ind w:left="6285" w:hanging="360"/>
      </w:pPr>
      <w:rPr>
        <w:rFonts w:ascii="Courier New" w:hAnsi="Courier New" w:cs="Courier New" w:hint="default"/>
      </w:rPr>
    </w:lvl>
    <w:lvl w:ilvl="8" w:tplc="04090005" w:tentative="1">
      <w:start w:val="1"/>
      <w:numFmt w:val="bullet"/>
      <w:lvlText w:val=""/>
      <w:lvlJc w:val="left"/>
      <w:pPr>
        <w:ind w:left="7005" w:hanging="360"/>
      </w:pPr>
      <w:rPr>
        <w:rFonts w:ascii="Wingdings" w:hAnsi="Wingdings" w:hint="default"/>
      </w:rPr>
    </w:lvl>
  </w:abstractNum>
  <w:abstractNum w:abstractNumId="30" w15:restartNumberingAfterBreak="0">
    <w:nsid w:val="77DA3022"/>
    <w:multiLevelType w:val="hybridMultilevel"/>
    <w:tmpl w:val="A3BE180A"/>
    <w:lvl w:ilvl="0" w:tplc="04190001">
      <w:start w:val="1"/>
      <w:numFmt w:val="bullet"/>
      <w:lvlText w:val=""/>
      <w:lvlJc w:val="left"/>
      <w:pPr>
        <w:tabs>
          <w:tab w:val="num" w:pos="720"/>
        </w:tabs>
        <w:ind w:left="720" w:hanging="360"/>
      </w:pPr>
      <w:rPr>
        <w:rFonts w:ascii="Symbol" w:hAnsi="Symbol" w:hint="default"/>
      </w:rPr>
    </w:lvl>
    <w:lvl w:ilvl="1" w:tplc="04190011">
      <w:start w:val="1"/>
      <w:numFmt w:val="decimal"/>
      <w:lvlText w:val="%2)"/>
      <w:lvlJc w:val="left"/>
      <w:pPr>
        <w:tabs>
          <w:tab w:val="num" w:pos="1440"/>
        </w:tabs>
        <w:ind w:left="1440" w:hanging="360"/>
      </w:pPr>
      <w:rPr>
        <w:rFonts w:hint="default"/>
      </w:rPr>
    </w:lvl>
    <w:lvl w:ilvl="2" w:tplc="305C9712">
      <w:numFmt w:val="bullet"/>
      <w:lvlText w:val="-"/>
      <w:lvlJc w:val="left"/>
      <w:pPr>
        <w:ind w:left="2160" w:hanging="360"/>
      </w:pPr>
      <w:rPr>
        <w:rFonts w:ascii="Arial" w:eastAsia="Times New Roman" w:hAnsi="Arial" w:cs="Aria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C9057B"/>
    <w:multiLevelType w:val="hybridMultilevel"/>
    <w:tmpl w:val="D2F48D70"/>
    <w:lvl w:ilvl="0" w:tplc="7CF08B74">
      <w:start w:val="1"/>
      <w:numFmt w:val="bullet"/>
      <w:lvlText w:val="-"/>
      <w:lvlJc w:val="left"/>
      <w:pPr>
        <w:tabs>
          <w:tab w:val="num" w:pos="720"/>
        </w:tabs>
        <w:ind w:left="720" w:hanging="360"/>
      </w:pPr>
      <w:rPr>
        <w:rFonts w:ascii="Times New Roman" w:hAnsi="Times New Roman" w:hint="default"/>
      </w:rPr>
    </w:lvl>
    <w:lvl w:ilvl="1" w:tplc="4F3E5506" w:tentative="1">
      <w:start w:val="1"/>
      <w:numFmt w:val="bullet"/>
      <w:lvlText w:val="-"/>
      <w:lvlJc w:val="left"/>
      <w:pPr>
        <w:tabs>
          <w:tab w:val="num" w:pos="1440"/>
        </w:tabs>
        <w:ind w:left="1440" w:hanging="360"/>
      </w:pPr>
      <w:rPr>
        <w:rFonts w:ascii="Times New Roman" w:hAnsi="Times New Roman" w:hint="default"/>
      </w:rPr>
    </w:lvl>
    <w:lvl w:ilvl="2" w:tplc="1E0C04E8" w:tentative="1">
      <w:start w:val="1"/>
      <w:numFmt w:val="bullet"/>
      <w:lvlText w:val="-"/>
      <w:lvlJc w:val="left"/>
      <w:pPr>
        <w:tabs>
          <w:tab w:val="num" w:pos="2160"/>
        </w:tabs>
        <w:ind w:left="2160" w:hanging="360"/>
      </w:pPr>
      <w:rPr>
        <w:rFonts w:ascii="Times New Roman" w:hAnsi="Times New Roman" w:hint="default"/>
      </w:rPr>
    </w:lvl>
    <w:lvl w:ilvl="3" w:tplc="8CF41212" w:tentative="1">
      <w:start w:val="1"/>
      <w:numFmt w:val="bullet"/>
      <w:lvlText w:val="-"/>
      <w:lvlJc w:val="left"/>
      <w:pPr>
        <w:tabs>
          <w:tab w:val="num" w:pos="2880"/>
        </w:tabs>
        <w:ind w:left="2880" w:hanging="360"/>
      </w:pPr>
      <w:rPr>
        <w:rFonts w:ascii="Times New Roman" w:hAnsi="Times New Roman" w:hint="default"/>
      </w:rPr>
    </w:lvl>
    <w:lvl w:ilvl="4" w:tplc="88CA4E98" w:tentative="1">
      <w:start w:val="1"/>
      <w:numFmt w:val="bullet"/>
      <w:lvlText w:val="-"/>
      <w:lvlJc w:val="left"/>
      <w:pPr>
        <w:tabs>
          <w:tab w:val="num" w:pos="3600"/>
        </w:tabs>
        <w:ind w:left="3600" w:hanging="360"/>
      </w:pPr>
      <w:rPr>
        <w:rFonts w:ascii="Times New Roman" w:hAnsi="Times New Roman" w:hint="default"/>
      </w:rPr>
    </w:lvl>
    <w:lvl w:ilvl="5" w:tplc="7098FE84" w:tentative="1">
      <w:start w:val="1"/>
      <w:numFmt w:val="bullet"/>
      <w:lvlText w:val="-"/>
      <w:lvlJc w:val="left"/>
      <w:pPr>
        <w:tabs>
          <w:tab w:val="num" w:pos="4320"/>
        </w:tabs>
        <w:ind w:left="4320" w:hanging="360"/>
      </w:pPr>
      <w:rPr>
        <w:rFonts w:ascii="Times New Roman" w:hAnsi="Times New Roman" w:hint="default"/>
      </w:rPr>
    </w:lvl>
    <w:lvl w:ilvl="6" w:tplc="BF5221D8" w:tentative="1">
      <w:start w:val="1"/>
      <w:numFmt w:val="bullet"/>
      <w:lvlText w:val="-"/>
      <w:lvlJc w:val="left"/>
      <w:pPr>
        <w:tabs>
          <w:tab w:val="num" w:pos="5040"/>
        </w:tabs>
        <w:ind w:left="5040" w:hanging="360"/>
      </w:pPr>
      <w:rPr>
        <w:rFonts w:ascii="Times New Roman" w:hAnsi="Times New Roman" w:hint="default"/>
      </w:rPr>
    </w:lvl>
    <w:lvl w:ilvl="7" w:tplc="A9EE91DC" w:tentative="1">
      <w:start w:val="1"/>
      <w:numFmt w:val="bullet"/>
      <w:lvlText w:val="-"/>
      <w:lvlJc w:val="left"/>
      <w:pPr>
        <w:tabs>
          <w:tab w:val="num" w:pos="5760"/>
        </w:tabs>
        <w:ind w:left="5760" w:hanging="360"/>
      </w:pPr>
      <w:rPr>
        <w:rFonts w:ascii="Times New Roman" w:hAnsi="Times New Roman" w:hint="default"/>
      </w:rPr>
    </w:lvl>
    <w:lvl w:ilvl="8" w:tplc="1D9EA972"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12"/>
  </w:num>
  <w:num w:numId="3">
    <w:abstractNumId w:val="19"/>
  </w:num>
  <w:num w:numId="4">
    <w:abstractNumId w:val="28"/>
  </w:num>
  <w:num w:numId="5">
    <w:abstractNumId w:val="13"/>
  </w:num>
  <w:num w:numId="6">
    <w:abstractNumId w:val="22"/>
  </w:num>
  <w:num w:numId="7">
    <w:abstractNumId w:val="9"/>
  </w:num>
  <w:num w:numId="8">
    <w:abstractNumId w:val="15"/>
  </w:num>
  <w:num w:numId="9">
    <w:abstractNumId w:val="16"/>
  </w:num>
  <w:num w:numId="10">
    <w:abstractNumId w:val="17"/>
  </w:num>
  <w:num w:numId="11">
    <w:abstractNumId w:val="0"/>
  </w:num>
  <w:num w:numId="12">
    <w:abstractNumId w:val="23"/>
  </w:num>
  <w:num w:numId="13">
    <w:abstractNumId w:val="6"/>
  </w:num>
  <w:num w:numId="14">
    <w:abstractNumId w:val="26"/>
  </w:num>
  <w:num w:numId="15">
    <w:abstractNumId w:val="31"/>
  </w:num>
  <w:num w:numId="16">
    <w:abstractNumId w:val="3"/>
  </w:num>
  <w:num w:numId="17">
    <w:abstractNumId w:val="2"/>
  </w:num>
  <w:num w:numId="18">
    <w:abstractNumId w:val="21"/>
  </w:num>
  <w:num w:numId="19">
    <w:abstractNumId w:val="4"/>
  </w:num>
  <w:num w:numId="20">
    <w:abstractNumId w:val="10"/>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5"/>
  </w:num>
  <w:num w:numId="24">
    <w:abstractNumId w:val="24"/>
  </w:num>
  <w:num w:numId="25">
    <w:abstractNumId w:val="5"/>
  </w:num>
  <w:num w:numId="26">
    <w:abstractNumId w:val="14"/>
  </w:num>
  <w:num w:numId="27">
    <w:abstractNumId w:val="7"/>
  </w:num>
  <w:num w:numId="28">
    <w:abstractNumId w:val="14"/>
    <w:lvlOverride w:ilvl="0">
      <w:startOverride w:val="3"/>
    </w:lvlOverride>
    <w:lvlOverride w:ilvl="1">
      <w:startOverride w:val="1"/>
    </w:lvlOverride>
  </w:num>
  <w:num w:numId="29">
    <w:abstractNumId w:val="14"/>
    <w:lvlOverride w:ilvl="0">
      <w:startOverride w:val="3"/>
    </w:lvlOverride>
    <w:lvlOverride w:ilvl="1">
      <w:startOverride w:val="1"/>
    </w:lvlOverride>
  </w:num>
  <w:num w:numId="30">
    <w:abstractNumId w:val="18"/>
  </w:num>
  <w:num w:numId="31">
    <w:abstractNumId w:val="27"/>
  </w:num>
  <w:num w:numId="32">
    <w:abstractNumId w:val="8"/>
  </w:num>
  <w:num w:numId="33">
    <w:abstractNumId w:val="20"/>
  </w:num>
  <w:num w:numId="34">
    <w:abstractNumId w:val="1"/>
  </w:num>
  <w:num w:numId="35">
    <w:abstractNumId w:val="30"/>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CD3"/>
    <w:rsid w:val="000A3E37"/>
    <w:rsid w:val="00366AEE"/>
    <w:rsid w:val="00650F97"/>
    <w:rsid w:val="006E3A7B"/>
    <w:rsid w:val="007D42FE"/>
    <w:rsid w:val="00F15C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654478"/>
  <w15:chartTrackingRefBased/>
  <w15:docId w15:val="{0B41894E-432E-4AE3-AB75-2F1FB7DE2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42FE"/>
    <w:pPr>
      <w:widowControl w:val="0"/>
      <w:adjustRightInd w:val="0"/>
      <w:spacing w:before="120" w:after="0" w:line="360" w:lineRule="atLeast"/>
      <w:jc w:val="both"/>
      <w:textAlignment w:val="baseline"/>
    </w:pPr>
    <w:rPr>
      <w:rFonts w:ascii="Arial" w:eastAsia="Times New Roman" w:hAnsi="Arial" w:cs="Arial"/>
      <w:sz w:val="20"/>
      <w:szCs w:val="20"/>
      <w:lang w:val="ro-RO" w:eastAsia="ru-RU"/>
    </w:rPr>
  </w:style>
  <w:style w:type="paragraph" w:styleId="1">
    <w:name w:val="heading 1"/>
    <w:basedOn w:val="a"/>
    <w:next w:val="a"/>
    <w:link w:val="10"/>
    <w:qFormat/>
    <w:rsid w:val="007D42FE"/>
    <w:pPr>
      <w:keepNext/>
      <w:numPr>
        <w:numId w:val="19"/>
      </w:numPr>
      <w:spacing w:before="240" w:after="60"/>
      <w:ind w:left="0" w:firstLine="0"/>
      <w:outlineLvl w:val="0"/>
    </w:pPr>
    <w:rPr>
      <w:b/>
      <w:bCs/>
      <w:kern w:val="32"/>
      <w:sz w:val="32"/>
      <w:szCs w:val="32"/>
    </w:rPr>
  </w:style>
  <w:style w:type="paragraph" w:styleId="2">
    <w:name w:val="heading 2"/>
    <w:basedOn w:val="a"/>
    <w:next w:val="a"/>
    <w:link w:val="20"/>
    <w:qFormat/>
    <w:rsid w:val="007D42FE"/>
    <w:pPr>
      <w:keepNext/>
      <w:numPr>
        <w:ilvl w:val="1"/>
        <w:numId w:val="19"/>
      </w:numPr>
      <w:spacing w:before="240" w:after="60"/>
      <w:ind w:left="0" w:firstLine="0"/>
      <w:outlineLvl w:val="1"/>
    </w:pPr>
    <w:rPr>
      <w:b/>
      <w:bCs/>
      <w:i/>
      <w:iCs/>
      <w:sz w:val="28"/>
      <w:szCs w:val="28"/>
    </w:rPr>
  </w:style>
  <w:style w:type="paragraph" w:styleId="3">
    <w:name w:val="heading 3"/>
    <w:basedOn w:val="a"/>
    <w:next w:val="a"/>
    <w:link w:val="30"/>
    <w:qFormat/>
    <w:rsid w:val="007D42FE"/>
    <w:pPr>
      <w:keepNext/>
      <w:spacing w:before="240" w:after="60"/>
      <w:outlineLvl w:val="2"/>
    </w:pPr>
    <w:rPr>
      <w:b/>
      <w:bCs/>
      <w:sz w:val="26"/>
      <w:szCs w:val="26"/>
    </w:rPr>
  </w:style>
  <w:style w:type="paragraph" w:styleId="4">
    <w:name w:val="heading 4"/>
    <w:basedOn w:val="a"/>
    <w:next w:val="a"/>
    <w:link w:val="40"/>
    <w:qFormat/>
    <w:rsid w:val="007D42FE"/>
    <w:pPr>
      <w:keepNext/>
      <w:widowControl/>
      <w:numPr>
        <w:ilvl w:val="3"/>
        <w:numId w:val="19"/>
      </w:numPr>
      <w:suppressAutoHyphens/>
      <w:adjustRightInd/>
      <w:spacing w:before="0" w:line="240" w:lineRule="auto"/>
      <w:jc w:val="center"/>
      <w:textAlignment w:val="auto"/>
      <w:outlineLvl w:val="3"/>
    </w:pPr>
    <w:rPr>
      <w:rFonts w:ascii="Times New Roman" w:hAnsi="Times New Roman" w:cs="Times New Roman"/>
      <w:sz w:val="24"/>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42FE"/>
    <w:rPr>
      <w:rFonts w:ascii="Arial" w:eastAsia="Times New Roman" w:hAnsi="Arial" w:cs="Arial"/>
      <w:b/>
      <w:bCs/>
      <w:kern w:val="32"/>
      <w:sz w:val="32"/>
      <w:szCs w:val="32"/>
      <w:lang w:val="ro-RO" w:eastAsia="ru-RU"/>
    </w:rPr>
  </w:style>
  <w:style w:type="character" w:customStyle="1" w:styleId="20">
    <w:name w:val="Заголовок 2 Знак"/>
    <w:basedOn w:val="a0"/>
    <w:link w:val="2"/>
    <w:rsid w:val="007D42FE"/>
    <w:rPr>
      <w:rFonts w:ascii="Arial" w:eastAsia="Times New Roman" w:hAnsi="Arial" w:cs="Arial"/>
      <w:b/>
      <w:bCs/>
      <w:i/>
      <w:iCs/>
      <w:sz w:val="28"/>
      <w:szCs w:val="28"/>
      <w:lang w:val="ro-RO" w:eastAsia="ru-RU"/>
    </w:rPr>
  </w:style>
  <w:style w:type="character" w:customStyle="1" w:styleId="30">
    <w:name w:val="Заголовок 3 Знак"/>
    <w:basedOn w:val="a0"/>
    <w:link w:val="3"/>
    <w:rsid w:val="007D42FE"/>
    <w:rPr>
      <w:rFonts w:ascii="Arial" w:eastAsia="Times New Roman" w:hAnsi="Arial" w:cs="Arial"/>
      <w:b/>
      <w:bCs/>
      <w:sz w:val="26"/>
      <w:szCs w:val="26"/>
      <w:lang w:val="ro-RO" w:eastAsia="ru-RU"/>
    </w:rPr>
  </w:style>
  <w:style w:type="character" w:customStyle="1" w:styleId="40">
    <w:name w:val="Заголовок 4 Знак"/>
    <w:basedOn w:val="a0"/>
    <w:link w:val="4"/>
    <w:rsid w:val="007D42FE"/>
    <w:rPr>
      <w:rFonts w:ascii="Times New Roman" w:eastAsia="Times New Roman" w:hAnsi="Times New Roman" w:cs="Times New Roman"/>
      <w:sz w:val="24"/>
      <w:szCs w:val="20"/>
      <w:lang w:eastAsia="ar-SA"/>
    </w:rPr>
  </w:style>
  <w:style w:type="paragraph" w:customStyle="1" w:styleId="numbered">
    <w:name w:val="numbered"/>
    <w:basedOn w:val="a"/>
    <w:rsid w:val="007D42FE"/>
    <w:pPr>
      <w:numPr>
        <w:numId w:val="1"/>
      </w:numPr>
      <w:tabs>
        <w:tab w:val="left" w:pos="425"/>
      </w:tabs>
    </w:pPr>
  </w:style>
  <w:style w:type="paragraph" w:customStyle="1" w:styleId="titludocument">
    <w:name w:val="titlu document"/>
    <w:basedOn w:val="a"/>
    <w:rsid w:val="007D42FE"/>
    <w:pPr>
      <w:jc w:val="center"/>
    </w:pPr>
    <w:rPr>
      <w:rFonts w:ascii="Arial Black" w:hAnsi="Arial Black"/>
      <w:b/>
      <w:caps/>
      <w:sz w:val="52"/>
      <w:szCs w:val="52"/>
    </w:rPr>
  </w:style>
  <w:style w:type="paragraph" w:customStyle="1" w:styleId="titlu1">
    <w:name w:val="titlu_1"/>
    <w:basedOn w:val="titludocument"/>
    <w:rsid w:val="007D42FE"/>
    <w:rPr>
      <w:rFonts w:ascii="Arial" w:hAnsi="Arial"/>
      <w:caps w:val="0"/>
    </w:rPr>
  </w:style>
  <w:style w:type="paragraph" w:styleId="a3">
    <w:name w:val="header"/>
    <w:basedOn w:val="a"/>
    <w:link w:val="a4"/>
    <w:rsid w:val="007D42FE"/>
    <w:pPr>
      <w:tabs>
        <w:tab w:val="center" w:pos="4677"/>
        <w:tab w:val="right" w:pos="9355"/>
      </w:tabs>
    </w:pPr>
  </w:style>
  <w:style w:type="character" w:customStyle="1" w:styleId="a4">
    <w:name w:val="Верхний колонтитул Знак"/>
    <w:basedOn w:val="a0"/>
    <w:link w:val="a3"/>
    <w:rsid w:val="007D42FE"/>
    <w:rPr>
      <w:rFonts w:ascii="Arial" w:eastAsia="Times New Roman" w:hAnsi="Arial" w:cs="Arial"/>
      <w:sz w:val="20"/>
      <w:szCs w:val="20"/>
      <w:lang w:val="ro-RO" w:eastAsia="ru-RU"/>
    </w:rPr>
  </w:style>
  <w:style w:type="paragraph" w:styleId="a5">
    <w:name w:val="footer"/>
    <w:basedOn w:val="a"/>
    <w:link w:val="a6"/>
    <w:uiPriority w:val="99"/>
    <w:rsid w:val="007D42FE"/>
    <w:pPr>
      <w:tabs>
        <w:tab w:val="center" w:pos="4677"/>
        <w:tab w:val="right" w:pos="9355"/>
      </w:tabs>
    </w:pPr>
  </w:style>
  <w:style w:type="character" w:customStyle="1" w:styleId="a6">
    <w:name w:val="Нижний колонтитул Знак"/>
    <w:basedOn w:val="a0"/>
    <w:link w:val="a5"/>
    <w:uiPriority w:val="99"/>
    <w:rsid w:val="007D42FE"/>
    <w:rPr>
      <w:rFonts w:ascii="Arial" w:eastAsia="Times New Roman" w:hAnsi="Arial" w:cs="Arial"/>
      <w:sz w:val="20"/>
      <w:szCs w:val="20"/>
      <w:lang w:val="ro-RO" w:eastAsia="ru-RU"/>
    </w:rPr>
  </w:style>
  <w:style w:type="character" w:styleId="a7">
    <w:name w:val="page number"/>
    <w:basedOn w:val="a0"/>
    <w:rsid w:val="007D42FE"/>
  </w:style>
  <w:style w:type="character" w:styleId="a8">
    <w:name w:val="annotation reference"/>
    <w:semiHidden/>
    <w:rsid w:val="007D42FE"/>
    <w:rPr>
      <w:sz w:val="16"/>
      <w:szCs w:val="16"/>
    </w:rPr>
  </w:style>
  <w:style w:type="paragraph" w:styleId="a9">
    <w:name w:val="annotation text"/>
    <w:basedOn w:val="a"/>
    <w:link w:val="aa"/>
    <w:semiHidden/>
    <w:rsid w:val="007D42FE"/>
  </w:style>
  <w:style w:type="character" w:customStyle="1" w:styleId="aa">
    <w:name w:val="Текст примечания Знак"/>
    <w:basedOn w:val="a0"/>
    <w:link w:val="a9"/>
    <w:semiHidden/>
    <w:rsid w:val="007D42FE"/>
    <w:rPr>
      <w:rFonts w:ascii="Arial" w:eastAsia="Times New Roman" w:hAnsi="Arial" w:cs="Arial"/>
      <w:sz w:val="20"/>
      <w:szCs w:val="20"/>
      <w:lang w:val="ro-RO" w:eastAsia="ru-RU"/>
    </w:rPr>
  </w:style>
  <w:style w:type="paragraph" w:styleId="ab">
    <w:name w:val="annotation subject"/>
    <w:basedOn w:val="a9"/>
    <w:next w:val="a9"/>
    <w:link w:val="ac"/>
    <w:semiHidden/>
    <w:rsid w:val="007D42FE"/>
    <w:rPr>
      <w:b/>
      <w:bCs/>
    </w:rPr>
  </w:style>
  <w:style w:type="character" w:customStyle="1" w:styleId="ac">
    <w:name w:val="Тема примечания Знак"/>
    <w:basedOn w:val="aa"/>
    <w:link w:val="ab"/>
    <w:semiHidden/>
    <w:rsid w:val="007D42FE"/>
    <w:rPr>
      <w:rFonts w:ascii="Arial" w:eastAsia="Times New Roman" w:hAnsi="Arial" w:cs="Arial"/>
      <w:b/>
      <w:bCs/>
      <w:sz w:val="20"/>
      <w:szCs w:val="20"/>
      <w:lang w:val="ro-RO" w:eastAsia="ru-RU"/>
    </w:rPr>
  </w:style>
  <w:style w:type="paragraph" w:styleId="ad">
    <w:name w:val="Balloon Text"/>
    <w:basedOn w:val="a"/>
    <w:link w:val="ae"/>
    <w:semiHidden/>
    <w:rsid w:val="007D42FE"/>
    <w:rPr>
      <w:rFonts w:ascii="Tahoma" w:hAnsi="Tahoma" w:cs="Tahoma"/>
      <w:sz w:val="16"/>
      <w:szCs w:val="16"/>
    </w:rPr>
  </w:style>
  <w:style w:type="character" w:customStyle="1" w:styleId="ae">
    <w:name w:val="Текст выноски Знак"/>
    <w:basedOn w:val="a0"/>
    <w:link w:val="ad"/>
    <w:semiHidden/>
    <w:rsid w:val="007D42FE"/>
    <w:rPr>
      <w:rFonts w:ascii="Tahoma" w:eastAsia="Times New Roman" w:hAnsi="Tahoma" w:cs="Tahoma"/>
      <w:sz w:val="16"/>
      <w:szCs w:val="16"/>
      <w:lang w:val="ro-RO" w:eastAsia="ru-RU"/>
    </w:rPr>
  </w:style>
  <w:style w:type="character" w:customStyle="1" w:styleId="goohl01">
    <w:name w:val="goohl01"/>
    <w:rsid w:val="007D42FE"/>
    <w:rPr>
      <w:color w:val="000000"/>
      <w:shd w:val="clear" w:color="auto" w:fill="FFFF66"/>
    </w:rPr>
  </w:style>
  <w:style w:type="table" w:styleId="af">
    <w:name w:val="Table Grid"/>
    <w:basedOn w:val="a1"/>
    <w:rsid w:val="007D42FE"/>
    <w:pPr>
      <w:widowControl w:val="0"/>
      <w:adjustRightInd w:val="0"/>
      <w:spacing w:before="120"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u10">
    <w:name w:val="Titlu1"/>
    <w:basedOn w:val="numbered"/>
    <w:autoRedefine/>
    <w:rsid w:val="007D42FE"/>
    <w:pPr>
      <w:spacing w:line="240" w:lineRule="auto"/>
    </w:pPr>
    <w:rPr>
      <w:b/>
    </w:rPr>
  </w:style>
  <w:style w:type="paragraph" w:customStyle="1" w:styleId="Titlu-1">
    <w:name w:val="Titlu-1"/>
    <w:basedOn w:val="numbered"/>
    <w:rsid w:val="007D42FE"/>
    <w:pPr>
      <w:spacing w:line="240" w:lineRule="auto"/>
    </w:pPr>
    <w:rPr>
      <w:b/>
    </w:rPr>
  </w:style>
  <w:style w:type="paragraph" w:styleId="11">
    <w:name w:val="toc 1"/>
    <w:basedOn w:val="a"/>
    <w:next w:val="a"/>
    <w:autoRedefine/>
    <w:uiPriority w:val="39"/>
    <w:rsid w:val="007D42FE"/>
  </w:style>
  <w:style w:type="character" w:styleId="af0">
    <w:name w:val="Hyperlink"/>
    <w:uiPriority w:val="99"/>
    <w:rsid w:val="007D42FE"/>
    <w:rPr>
      <w:color w:val="0000FF"/>
      <w:u w:val="single"/>
    </w:rPr>
  </w:style>
  <w:style w:type="character" w:styleId="af1">
    <w:name w:val="Emphasis"/>
    <w:uiPriority w:val="20"/>
    <w:qFormat/>
    <w:rsid w:val="007D42FE"/>
    <w:rPr>
      <w:i/>
      <w:iCs/>
    </w:rPr>
  </w:style>
  <w:style w:type="paragraph" w:styleId="af2">
    <w:name w:val="No Spacing"/>
    <w:uiPriority w:val="1"/>
    <w:qFormat/>
    <w:rsid w:val="007D42FE"/>
    <w:pPr>
      <w:widowControl w:val="0"/>
      <w:adjustRightInd w:val="0"/>
      <w:spacing w:after="0" w:line="240" w:lineRule="auto"/>
      <w:jc w:val="both"/>
      <w:textAlignment w:val="baseline"/>
    </w:pPr>
    <w:rPr>
      <w:rFonts w:ascii="Arial" w:eastAsia="Times New Roman" w:hAnsi="Arial" w:cs="Arial"/>
      <w:sz w:val="20"/>
      <w:szCs w:val="20"/>
      <w:lang w:val="ro-RO" w:eastAsia="ru-RU"/>
    </w:rPr>
  </w:style>
  <w:style w:type="paragraph" w:styleId="31">
    <w:name w:val="Body Text Indent 3"/>
    <w:basedOn w:val="a"/>
    <w:link w:val="32"/>
    <w:rsid w:val="007D42FE"/>
    <w:pPr>
      <w:widowControl/>
      <w:suppressAutoHyphens/>
      <w:adjustRightInd/>
      <w:spacing w:before="0" w:line="240" w:lineRule="auto"/>
      <w:ind w:left="540"/>
      <w:jc w:val="left"/>
      <w:textAlignment w:val="auto"/>
    </w:pPr>
    <w:rPr>
      <w:rFonts w:ascii="Times New Roman" w:hAnsi="Times New Roman" w:cs="Times New Roman"/>
      <w:sz w:val="24"/>
      <w:szCs w:val="18"/>
      <w:lang w:val="ru-RU" w:eastAsia="ar-SA"/>
    </w:rPr>
  </w:style>
  <w:style w:type="character" w:customStyle="1" w:styleId="32">
    <w:name w:val="Основной текст с отступом 3 Знак"/>
    <w:basedOn w:val="a0"/>
    <w:link w:val="31"/>
    <w:rsid w:val="007D42FE"/>
    <w:rPr>
      <w:rFonts w:ascii="Times New Roman" w:eastAsia="Times New Roman" w:hAnsi="Times New Roman" w:cs="Times New Roman"/>
      <w:sz w:val="24"/>
      <w:szCs w:val="18"/>
      <w:lang w:eastAsia="ar-SA"/>
    </w:rPr>
  </w:style>
  <w:style w:type="paragraph" w:styleId="af3">
    <w:name w:val="Normal (Web)"/>
    <w:basedOn w:val="a"/>
    <w:uiPriority w:val="99"/>
    <w:unhideWhenUsed/>
    <w:rsid w:val="007D42FE"/>
    <w:pPr>
      <w:widowControl/>
      <w:adjustRightInd/>
      <w:spacing w:before="100" w:beforeAutospacing="1" w:after="100" w:afterAutospacing="1" w:line="240" w:lineRule="auto"/>
      <w:jc w:val="left"/>
      <w:textAlignment w:val="auto"/>
    </w:pPr>
    <w:rPr>
      <w:rFonts w:ascii="Times New Roman" w:hAnsi="Times New Roman" w:cs="Times New Roman"/>
      <w:sz w:val="24"/>
      <w:szCs w:val="24"/>
      <w:lang w:val="en-US" w:eastAsia="en-US"/>
    </w:rPr>
  </w:style>
  <w:style w:type="paragraph" w:styleId="af4">
    <w:name w:val="List Paragraph"/>
    <w:basedOn w:val="a"/>
    <w:uiPriority w:val="34"/>
    <w:qFormat/>
    <w:rsid w:val="007D42FE"/>
    <w:pPr>
      <w:ind w:left="708"/>
    </w:pPr>
  </w:style>
  <w:style w:type="paragraph" w:styleId="af5">
    <w:name w:val="Body Text Indent"/>
    <w:basedOn w:val="a"/>
    <w:link w:val="af6"/>
    <w:rsid w:val="007D42FE"/>
    <w:pPr>
      <w:spacing w:after="120"/>
      <w:ind w:left="283"/>
    </w:pPr>
  </w:style>
  <w:style w:type="character" w:customStyle="1" w:styleId="af6">
    <w:name w:val="Основной текст с отступом Знак"/>
    <w:basedOn w:val="a0"/>
    <w:link w:val="af5"/>
    <w:rsid w:val="007D42FE"/>
    <w:rPr>
      <w:rFonts w:ascii="Arial" w:eastAsia="Times New Roman" w:hAnsi="Arial" w:cs="Arial"/>
      <w:sz w:val="20"/>
      <w:szCs w:val="20"/>
      <w:lang w:val="ro-RO" w:eastAsia="ru-RU"/>
    </w:rPr>
  </w:style>
  <w:style w:type="character" w:customStyle="1" w:styleId="highlight">
    <w:name w:val="highlight"/>
    <w:rsid w:val="007D42FE"/>
  </w:style>
  <w:style w:type="paragraph" w:styleId="af7">
    <w:name w:val="Revision"/>
    <w:hidden/>
    <w:uiPriority w:val="99"/>
    <w:semiHidden/>
    <w:rsid w:val="007D42FE"/>
    <w:pPr>
      <w:spacing w:after="0" w:line="240" w:lineRule="auto"/>
    </w:pPr>
    <w:rPr>
      <w:rFonts w:ascii="Arial" w:eastAsia="Times New Roman" w:hAnsi="Arial" w:cs="Arial"/>
      <w:sz w:val="20"/>
      <w:szCs w:val="20"/>
      <w:lang w:val="ro-RO"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5744</Words>
  <Characters>35270</Characters>
  <Application>Microsoft Office Word</Application>
  <DocSecurity>0</DocSecurity>
  <Lines>542</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Bumbac</dc:creator>
  <cp:keywords/>
  <dc:description/>
  <cp:lastModifiedBy>Daniela Bumbac</cp:lastModifiedBy>
  <cp:revision>3</cp:revision>
  <dcterms:created xsi:type="dcterms:W3CDTF">2021-04-14T20:53:00Z</dcterms:created>
  <dcterms:modified xsi:type="dcterms:W3CDTF">2021-05-25T14:17:00Z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e8648d39-d327-4c0b-9a2d-e88a3256c415</vt:lpwstr>
  </property>
  <property fmtid="{D5CDD505-2E9C-101B-9397-08002B2CF9AE}" pid="3" name="Clasificare">
    <vt:lpwstr>P</vt:lpwstr>
  </property>
</Properties>
</file>